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9C2139">
      <w:pPr>
        <w:tabs>
          <w:tab w:val="center" w:pos="5022"/>
          <w:tab w:val="left" w:pos="6670"/>
        </w:tabs>
        <w:ind w:left="221" w:hanging="221"/>
        <w:jc w:val="center"/>
        <w:rPr>
          <w:b/>
          <w:bCs/>
          <w:sz w:val="44"/>
          <w:szCs w:val="44"/>
        </w:rPr>
      </w:pPr>
      <w:r>
        <w:rPr>
          <w:rFonts w:hint="eastAsia"/>
          <w:b/>
          <w:bCs/>
          <w:sz w:val="44"/>
          <w:szCs w:val="44"/>
        </w:rPr>
        <w:t>采购需求</w:t>
      </w:r>
    </w:p>
    <w:p w14:paraId="77B3C5E9">
      <w:pPr>
        <w:widowControl/>
        <w:ind w:left="0" w:right="0" w:firstLine="0" w:firstLineChars="0"/>
        <w:jc w:val="left"/>
        <w:outlineLvl w:val="1"/>
        <w:rPr>
          <w:rFonts w:ascii="宋体" w:hAnsi="宋体"/>
          <w:bCs/>
          <w:sz w:val="24"/>
        </w:rPr>
      </w:pPr>
    </w:p>
    <w:p w14:paraId="19D38CB3">
      <w:pPr>
        <w:widowControl/>
        <w:ind w:left="0" w:right="0" w:firstLine="0" w:firstLineChars="0"/>
        <w:jc w:val="left"/>
        <w:outlineLvl w:val="1"/>
        <w:rPr>
          <w:rFonts w:ascii="宋体" w:hAnsi="宋体"/>
          <w:bCs/>
          <w:sz w:val="24"/>
          <w:u w:val="single"/>
        </w:rPr>
      </w:pPr>
      <w:r>
        <w:rPr>
          <w:rFonts w:hint="eastAsia" w:ascii="宋体" w:hAnsi="宋体"/>
          <w:bCs/>
          <w:sz w:val="24"/>
        </w:rPr>
        <w:t>项目名称：</w:t>
      </w:r>
      <w:r>
        <w:rPr>
          <w:rFonts w:hint="eastAsia" w:ascii="宋体" w:hAnsi="宋体"/>
          <w:bCs/>
          <w:sz w:val="24"/>
          <w:u w:val="single"/>
        </w:rPr>
        <w:t>雨污分流改造项目</w:t>
      </w:r>
    </w:p>
    <w:p w14:paraId="104C3DA5">
      <w:pPr>
        <w:widowControl/>
        <w:ind w:left="0" w:right="0" w:firstLine="0" w:firstLineChars="0"/>
        <w:jc w:val="left"/>
        <w:outlineLvl w:val="1"/>
        <w:rPr>
          <w:rFonts w:ascii="宋体" w:hAnsi="宋体"/>
          <w:bCs/>
          <w:sz w:val="24"/>
          <w:u w:val="single"/>
        </w:rPr>
      </w:pPr>
      <w:r>
        <w:rPr>
          <w:rFonts w:hint="eastAsia" w:ascii="宋体" w:hAnsi="宋体"/>
          <w:bCs/>
          <w:sz w:val="24"/>
        </w:rPr>
        <w:t>采购单位：</w:t>
      </w:r>
      <w:r>
        <w:rPr>
          <w:rFonts w:hint="eastAsia" w:ascii="宋体" w:hAnsi="宋体"/>
          <w:bCs/>
          <w:sz w:val="24"/>
          <w:u w:val="single"/>
        </w:rPr>
        <w:t>中山市小榄人民医院</w:t>
      </w:r>
    </w:p>
    <w:p w14:paraId="7CD3089F">
      <w:pPr>
        <w:widowControl/>
        <w:numPr>
          <w:ilvl w:val="0"/>
          <w:numId w:val="1"/>
        </w:numPr>
        <w:ind w:right="0" w:firstLineChars="0"/>
        <w:jc w:val="left"/>
        <w:outlineLvl w:val="1"/>
        <w:rPr>
          <w:rFonts w:ascii="宋体" w:hAnsi="宋体"/>
          <w:b/>
          <w:sz w:val="24"/>
        </w:rPr>
      </w:pPr>
      <w:r>
        <w:rPr>
          <w:rFonts w:hint="eastAsia" w:ascii="宋体" w:hAnsi="宋体"/>
          <w:b/>
          <w:sz w:val="24"/>
        </w:rPr>
        <w:t>项目说明</w:t>
      </w:r>
    </w:p>
    <w:p w14:paraId="4D3A3EDF">
      <w:pPr>
        <w:widowControl/>
        <w:numPr>
          <w:ilvl w:val="0"/>
          <w:numId w:val="2"/>
        </w:numPr>
        <w:ind w:right="0" w:firstLineChars="0"/>
        <w:jc w:val="left"/>
        <w:rPr>
          <w:rFonts w:ascii="宋体" w:hAnsi="宋体"/>
          <w:sz w:val="24"/>
        </w:rPr>
      </w:pPr>
      <w:bookmarkStart w:id="0" w:name="_Toc508095716"/>
      <w:bookmarkStart w:id="1" w:name="_Toc14492260"/>
      <w:bookmarkStart w:id="2" w:name="_Toc508094842"/>
      <w:bookmarkStart w:id="3" w:name="_Toc9876857"/>
      <w:r>
        <w:rPr>
          <w:rFonts w:hint="eastAsia" w:ascii="宋体" w:hAnsi="宋体" w:cs="宋体"/>
          <w:bCs/>
          <w:sz w:val="24"/>
        </w:rPr>
        <w:t>★</w:t>
      </w:r>
      <w:r>
        <w:rPr>
          <w:rFonts w:hint="eastAsia" w:ascii="宋体" w:hAnsi="宋体"/>
          <w:sz w:val="24"/>
        </w:rPr>
        <w:t>项目内容：</w:t>
      </w:r>
      <w:r>
        <w:rPr>
          <w:rFonts w:hint="eastAsia" w:ascii="宋体" w:hAnsi="宋体"/>
          <w:bCs/>
          <w:sz w:val="24"/>
        </w:rPr>
        <w:t>详情见项目资料中的工程量清单以及采购需求，且成交供应商的报价清单须作为合同附件。项目</w:t>
      </w:r>
      <w:r>
        <w:rPr>
          <w:rFonts w:hint="eastAsia" w:ascii="宋体" w:hAnsi="宋体"/>
          <w:sz w:val="24"/>
        </w:rPr>
        <w:t>包含但不限于以下列明的内容：</w:t>
      </w:r>
    </w:p>
    <w:p w14:paraId="590078DE">
      <w:pPr>
        <w:widowControl/>
        <w:numPr>
          <w:ilvl w:val="0"/>
          <w:numId w:val="3"/>
        </w:numPr>
        <w:ind w:right="0" w:firstLineChars="0"/>
        <w:jc w:val="left"/>
        <w:rPr>
          <w:rFonts w:ascii="宋体" w:hAnsi="宋体"/>
          <w:sz w:val="24"/>
        </w:rPr>
      </w:pPr>
      <w:r>
        <w:rPr>
          <w:rFonts w:hint="eastAsia" w:ascii="宋体" w:hAnsi="宋体"/>
          <w:sz w:val="24"/>
        </w:rPr>
        <w:t>采购人提供的采购需求及项目清单。</w:t>
      </w:r>
    </w:p>
    <w:p w14:paraId="1E79A5E1">
      <w:pPr>
        <w:widowControl/>
        <w:numPr>
          <w:ilvl w:val="0"/>
          <w:numId w:val="3"/>
        </w:numPr>
        <w:ind w:right="0" w:firstLineChars="0"/>
        <w:jc w:val="left"/>
        <w:rPr>
          <w:rFonts w:ascii="宋体" w:hAnsi="宋体"/>
          <w:sz w:val="24"/>
        </w:rPr>
      </w:pPr>
      <w:r>
        <w:rPr>
          <w:rFonts w:hint="eastAsia" w:ascii="宋体" w:hAnsi="宋体"/>
          <w:sz w:val="24"/>
        </w:rPr>
        <w:t>若供应商对本次项目需要现场踏勘时，可自行前往现场踏勘，采购人不组织统一集中踏勘。</w:t>
      </w:r>
    </w:p>
    <w:p w14:paraId="3BCC99E8">
      <w:pPr>
        <w:widowControl/>
        <w:numPr>
          <w:ilvl w:val="0"/>
          <w:numId w:val="3"/>
        </w:numPr>
        <w:ind w:right="0" w:firstLineChars="0"/>
        <w:jc w:val="left"/>
        <w:rPr>
          <w:rFonts w:ascii="宋体" w:hAnsi="宋体"/>
          <w:sz w:val="24"/>
        </w:rPr>
      </w:pPr>
      <w:r>
        <w:rPr>
          <w:rFonts w:hint="eastAsia" w:ascii="宋体" w:hAnsi="宋体"/>
          <w:sz w:val="24"/>
        </w:rPr>
        <w:t>施工完成后的剩余建筑物料及垃圾要及时清理，不能影响所在科室的正常</w:t>
      </w:r>
      <w:bookmarkStart w:id="5" w:name="_GoBack"/>
      <w:bookmarkEnd w:id="5"/>
      <w:r>
        <w:rPr>
          <w:rFonts w:hint="eastAsia" w:ascii="宋体" w:hAnsi="宋体"/>
          <w:sz w:val="24"/>
        </w:rPr>
        <w:t>营业，垃圾不得堆放在医院内。</w:t>
      </w:r>
    </w:p>
    <w:p w14:paraId="00A88CD0">
      <w:pPr>
        <w:widowControl/>
        <w:numPr>
          <w:ilvl w:val="0"/>
          <w:numId w:val="3"/>
        </w:numPr>
        <w:ind w:right="0" w:firstLineChars="0"/>
        <w:jc w:val="left"/>
        <w:rPr>
          <w:rFonts w:ascii="宋体" w:hAnsi="宋体"/>
          <w:sz w:val="24"/>
        </w:rPr>
      </w:pPr>
      <w:r>
        <w:rPr>
          <w:rFonts w:hint="eastAsia" w:ascii="宋体" w:hAnsi="宋体"/>
          <w:sz w:val="24"/>
        </w:rPr>
        <w:t>本项目</w:t>
      </w:r>
      <w:r>
        <w:rPr>
          <w:rFonts w:hint="eastAsia" w:ascii="宋体" w:hAnsi="宋体"/>
          <w:bCs/>
          <w:sz w:val="24"/>
        </w:rPr>
        <w:t>要求中所出现的参考品牌为方便描述而没有限制性，投标人在满足产品需求的前提下，</w:t>
      </w:r>
    </w:p>
    <w:p w14:paraId="7BBD198E">
      <w:pPr>
        <w:widowControl/>
        <w:ind w:left="0" w:firstLine="0" w:firstLineChars="0"/>
        <w:jc w:val="left"/>
        <w:rPr>
          <w:rFonts w:ascii="宋体" w:hAnsi="宋体"/>
          <w:sz w:val="24"/>
        </w:rPr>
      </w:pPr>
      <w:r>
        <w:rPr>
          <w:rFonts w:hint="eastAsia" w:ascii="宋体" w:hAnsi="宋体"/>
          <w:bCs/>
          <w:sz w:val="24"/>
        </w:rPr>
        <w:t>可以选用其他同等级产品报价，但这些替代标准要优于或相当于原技术规格中要求的标准。</w:t>
      </w:r>
    </w:p>
    <w:p w14:paraId="714E96E9">
      <w:pPr>
        <w:widowControl/>
        <w:numPr>
          <w:ilvl w:val="0"/>
          <w:numId w:val="2"/>
        </w:numPr>
        <w:ind w:right="0" w:firstLineChars="0"/>
        <w:jc w:val="left"/>
        <w:rPr>
          <w:rFonts w:ascii="宋体" w:hAnsi="宋体"/>
          <w:sz w:val="24"/>
        </w:rPr>
      </w:pPr>
      <w:r>
        <w:rPr>
          <w:rFonts w:hint="eastAsia" w:ascii="宋体" w:hAnsi="宋体"/>
          <w:sz w:val="24"/>
        </w:rPr>
        <w:t>本项目提供的图纸及项目清单仅供参考，供应商应根据现场实际情况复核工程量，若有疑问，需以书面形式提出，否则视为清单要求已包含项目实际的全部内容及配套收尾工程。</w:t>
      </w:r>
    </w:p>
    <w:p w14:paraId="6E54E4DC">
      <w:pPr>
        <w:widowControl/>
        <w:numPr>
          <w:ilvl w:val="0"/>
          <w:numId w:val="2"/>
        </w:numPr>
        <w:ind w:right="0" w:firstLineChars="0"/>
        <w:jc w:val="left"/>
        <w:rPr>
          <w:rFonts w:ascii="宋体" w:hAnsi="宋体"/>
          <w:sz w:val="24"/>
        </w:rPr>
      </w:pPr>
      <w:r>
        <w:rPr>
          <w:rFonts w:hint="eastAsia" w:ascii="宋体" w:hAnsi="宋体"/>
          <w:sz w:val="24"/>
        </w:rPr>
        <w:t>本项目采用总价承包方式，对采购人提供的工程量清单中要求的全部内容进行投标。供应商的报价包括项目费用包含所有人工费、材料费、机械使用费、管理费、利润、税金、保险费、安全文明施工费及适当风险。除设计变更及采购人增减工程量外，成交价将不予调整。</w:t>
      </w:r>
    </w:p>
    <w:p w14:paraId="48E800EF">
      <w:pPr>
        <w:widowControl/>
        <w:numPr>
          <w:ilvl w:val="0"/>
          <w:numId w:val="2"/>
        </w:numPr>
        <w:ind w:right="0" w:firstLineChars="0"/>
        <w:jc w:val="left"/>
        <w:rPr>
          <w:rFonts w:ascii="宋体" w:hAnsi="宋体"/>
          <w:sz w:val="24"/>
        </w:rPr>
      </w:pPr>
      <w:r>
        <w:rPr>
          <w:rFonts w:hint="eastAsia" w:ascii="宋体" w:hAnsi="宋体"/>
          <w:sz w:val="24"/>
        </w:rPr>
        <w:t>采购人有权在施工过程中对项目方案作适当修改调整或对产品数量作适量增加或减少,按实际施工数量结算。</w:t>
      </w:r>
    </w:p>
    <w:p w14:paraId="287FE1DE">
      <w:pPr>
        <w:widowControl/>
        <w:numPr>
          <w:ilvl w:val="0"/>
          <w:numId w:val="2"/>
        </w:numPr>
        <w:ind w:right="0" w:firstLineChars="0"/>
        <w:jc w:val="left"/>
        <w:rPr>
          <w:rFonts w:ascii="宋体" w:hAnsi="宋体"/>
          <w:sz w:val="24"/>
        </w:rPr>
      </w:pPr>
      <w:r>
        <w:rPr>
          <w:rFonts w:hint="eastAsia" w:ascii="宋体" w:hAnsi="宋体"/>
          <w:sz w:val="24"/>
        </w:rPr>
        <w:t>未经采购人同意，成交供应商不得以任何方式转包或分包本项目。</w:t>
      </w:r>
    </w:p>
    <w:p w14:paraId="5C3234EE">
      <w:pPr>
        <w:widowControl/>
        <w:numPr>
          <w:ilvl w:val="0"/>
          <w:numId w:val="2"/>
        </w:numPr>
        <w:ind w:right="0" w:firstLineChars="0"/>
        <w:jc w:val="left"/>
        <w:rPr>
          <w:rFonts w:ascii="宋体" w:hAnsi="宋体"/>
          <w:sz w:val="24"/>
        </w:rPr>
      </w:pPr>
      <w:r>
        <w:rPr>
          <w:rFonts w:hint="eastAsia" w:ascii="宋体" w:hAnsi="宋体"/>
          <w:sz w:val="24"/>
        </w:rPr>
        <w:t>本项目成交供应商须承包采购人对成交供应商要求的一切事宜及责任。</w:t>
      </w:r>
      <w:bookmarkEnd w:id="0"/>
      <w:bookmarkEnd w:id="1"/>
      <w:bookmarkEnd w:id="2"/>
      <w:bookmarkEnd w:id="3"/>
      <w:bookmarkStart w:id="4" w:name="_Toc269196271"/>
    </w:p>
    <w:bookmarkEnd w:id="4"/>
    <w:p w14:paraId="5FD821B8">
      <w:pPr>
        <w:widowControl/>
        <w:numPr>
          <w:ilvl w:val="0"/>
          <w:numId w:val="1"/>
        </w:numPr>
        <w:ind w:right="0" w:firstLineChars="0"/>
        <w:jc w:val="left"/>
        <w:outlineLvl w:val="1"/>
        <w:rPr>
          <w:rFonts w:ascii="宋体" w:hAnsi="宋体"/>
          <w:b/>
          <w:sz w:val="24"/>
        </w:rPr>
      </w:pPr>
      <w:r>
        <w:rPr>
          <w:rFonts w:hint="eastAsia" w:ascii="宋体" w:hAnsi="宋体"/>
          <w:b/>
          <w:sz w:val="24"/>
        </w:rPr>
        <w:t>投标报价要求</w:t>
      </w:r>
    </w:p>
    <w:p w14:paraId="4B8CE53A">
      <w:pPr>
        <w:widowControl/>
        <w:numPr>
          <w:ilvl w:val="0"/>
          <w:numId w:val="4"/>
        </w:numPr>
        <w:ind w:right="0" w:firstLineChars="0"/>
        <w:jc w:val="left"/>
        <w:rPr>
          <w:rFonts w:ascii="宋体" w:hAnsi="宋体"/>
          <w:sz w:val="24"/>
        </w:rPr>
      </w:pPr>
      <w:r>
        <w:rPr>
          <w:rFonts w:hint="eastAsia" w:ascii="宋体" w:hAnsi="宋体"/>
          <w:sz w:val="24"/>
        </w:rPr>
        <w:t>供应商报价低于（含等于）预算金额的为有效报价,否则为无效报价。</w:t>
      </w:r>
    </w:p>
    <w:p w14:paraId="5CB48E02">
      <w:pPr>
        <w:widowControl/>
        <w:numPr>
          <w:ilvl w:val="0"/>
          <w:numId w:val="4"/>
        </w:numPr>
        <w:ind w:right="0" w:firstLineChars="0"/>
        <w:jc w:val="left"/>
        <w:rPr>
          <w:rFonts w:ascii="宋体" w:hAnsi="宋体"/>
          <w:sz w:val="24"/>
        </w:rPr>
      </w:pPr>
      <w:r>
        <w:rPr>
          <w:rFonts w:hint="eastAsia" w:ascii="宋体" w:hAnsi="宋体"/>
          <w:sz w:val="24"/>
        </w:rPr>
        <w:t>供应商单价报价中漏项、少报的费用，视为此项费用已隐含在投标报价中，成交供应商不得再向采购人收取任何费用。</w:t>
      </w:r>
    </w:p>
    <w:p w14:paraId="4D38BA40">
      <w:pPr>
        <w:widowControl/>
        <w:numPr>
          <w:ilvl w:val="0"/>
          <w:numId w:val="4"/>
        </w:numPr>
        <w:ind w:right="0" w:firstLineChars="0"/>
        <w:jc w:val="left"/>
        <w:rPr>
          <w:rFonts w:ascii="宋体" w:hAnsi="宋体"/>
          <w:sz w:val="24"/>
        </w:rPr>
      </w:pPr>
      <w:r>
        <w:rPr>
          <w:rFonts w:hint="eastAsia" w:ascii="宋体" w:hAnsi="宋体"/>
          <w:sz w:val="24"/>
        </w:rPr>
        <w:t>本项目合同为总价承包合同，材料价差不作调整。供应商报价时应综合考虑相关风险（供应商的报价应已包含了完成与项目有关的一切必要的工序和工作内容以及达到合格工程质量要求的一切工程费用和措施性费用，即包含工程量清单中没有体现的但施工中必须发生的一切工作内容所需费用）。</w:t>
      </w:r>
    </w:p>
    <w:p w14:paraId="7D6DC316">
      <w:pPr>
        <w:widowControl/>
        <w:numPr>
          <w:ilvl w:val="0"/>
          <w:numId w:val="1"/>
        </w:numPr>
        <w:ind w:right="0" w:firstLineChars="0"/>
        <w:jc w:val="left"/>
        <w:outlineLvl w:val="1"/>
        <w:rPr>
          <w:rFonts w:ascii="宋体" w:hAnsi="宋体"/>
          <w:b/>
          <w:sz w:val="24"/>
        </w:rPr>
      </w:pPr>
      <w:r>
        <w:rPr>
          <w:rFonts w:hint="eastAsia" w:ascii="宋体" w:hAnsi="宋体"/>
          <w:b/>
          <w:sz w:val="24"/>
        </w:rPr>
        <w:t>供应商资质要求</w:t>
      </w:r>
    </w:p>
    <w:p w14:paraId="7737191A">
      <w:pPr>
        <w:widowControl/>
        <w:ind w:firstLine="480" w:firstLineChars="200"/>
        <w:jc w:val="left"/>
        <w:rPr>
          <w:rFonts w:ascii="宋体" w:hAnsi="宋体"/>
          <w:sz w:val="24"/>
        </w:rPr>
      </w:pPr>
      <w:r>
        <w:rPr>
          <w:rFonts w:hint="eastAsia" w:ascii="宋体" w:hAnsi="宋体"/>
          <w:sz w:val="24"/>
        </w:rPr>
        <w:t>1、响应供应商必须是具有独立承担民事责任能力的在中华人民共和国境内注册的企业法人或其他组织。</w:t>
      </w:r>
    </w:p>
    <w:p w14:paraId="07245124">
      <w:pPr>
        <w:widowControl/>
        <w:ind w:firstLine="480" w:firstLineChars="200"/>
        <w:jc w:val="left"/>
        <w:rPr>
          <w:rFonts w:ascii="宋体" w:hAnsi="宋体"/>
          <w:sz w:val="24"/>
        </w:rPr>
      </w:pPr>
      <w:r>
        <w:rPr>
          <w:rFonts w:hint="eastAsia" w:ascii="宋体" w:hAnsi="宋体"/>
          <w:sz w:val="24"/>
        </w:rPr>
        <w:t>2、响应供应商务须具有有效的且具备市政相关经营范围的营业执照。</w:t>
      </w:r>
    </w:p>
    <w:p w14:paraId="3B25D6FB">
      <w:pPr>
        <w:widowControl/>
        <w:ind w:firstLine="480" w:firstLineChars="200"/>
        <w:jc w:val="left"/>
        <w:rPr>
          <w:rFonts w:ascii="宋体" w:hAnsi="宋体"/>
          <w:sz w:val="24"/>
        </w:rPr>
      </w:pPr>
      <w:r>
        <w:rPr>
          <w:rFonts w:hint="eastAsia" w:ascii="宋体" w:hAnsi="宋体"/>
          <w:sz w:val="24"/>
        </w:rPr>
        <w:t>3、响应供应商须具有市政公用工程施工总承包三级或以上资质。</w:t>
      </w:r>
    </w:p>
    <w:p w14:paraId="084E327C">
      <w:pPr>
        <w:widowControl/>
        <w:ind w:firstLine="480" w:firstLineChars="200"/>
        <w:jc w:val="left"/>
        <w:rPr>
          <w:rFonts w:ascii="宋体" w:hAnsi="宋体"/>
          <w:sz w:val="24"/>
        </w:rPr>
      </w:pPr>
      <w:r>
        <w:rPr>
          <w:rFonts w:hint="eastAsia" w:ascii="宋体" w:hAnsi="宋体"/>
          <w:sz w:val="24"/>
        </w:rPr>
        <w:t>4、响应供应商应具有项目的承接能力、合同的履约能力、售后服务能力和良好的信誉。</w:t>
      </w:r>
    </w:p>
    <w:p w14:paraId="170B01EB">
      <w:pPr>
        <w:widowControl/>
        <w:ind w:firstLine="480" w:firstLineChars="200"/>
        <w:jc w:val="left"/>
        <w:rPr>
          <w:rFonts w:ascii="宋体" w:hAnsi="宋体"/>
          <w:sz w:val="24"/>
        </w:rPr>
      </w:pPr>
      <w:r>
        <w:rPr>
          <w:rFonts w:hint="eastAsia" w:ascii="宋体" w:hAnsi="宋体"/>
          <w:sz w:val="24"/>
        </w:rPr>
        <w:t>5、响应供应商须已完成中山市建设工程企业诚信档案登记备案，在中山市建设工程企业管理和诚信平台上的施工企业信用等级为B级或以上且显示资料未过期。（根据2020年5月20日印发的《关于自觉维护更新中山市建设工程企业管理和诚信平台信息的通知》的要求，各投标单位应自觉更新中山市建设工程企业管理和诚信平台的登记资料，如因不及时更新资料导致公共资源交易系统中的诚信等级显示“暂无数据”的，视为投标单位不满足诚信要求。）</w:t>
      </w:r>
    </w:p>
    <w:p w14:paraId="7F56C106">
      <w:pPr>
        <w:widowControl/>
        <w:ind w:firstLine="480" w:firstLineChars="200"/>
        <w:jc w:val="left"/>
        <w:rPr>
          <w:rFonts w:ascii="宋体" w:hAnsi="宋体"/>
          <w:sz w:val="24"/>
        </w:rPr>
      </w:pPr>
      <w:r>
        <w:rPr>
          <w:rFonts w:hint="eastAsia" w:ascii="宋体" w:hAnsi="宋体"/>
          <w:sz w:val="24"/>
        </w:rPr>
        <w:t>6、单位负责人为同一人或者存在直接控股、管理关系的不同供应商，不得参加同一合同项下的采购活动；响应供应商须无围标、串标行为。</w:t>
      </w:r>
    </w:p>
    <w:p w14:paraId="5CC7EE91">
      <w:pPr>
        <w:widowControl/>
        <w:ind w:firstLine="480" w:firstLineChars="200"/>
        <w:jc w:val="left"/>
        <w:rPr>
          <w:rFonts w:ascii="宋体" w:hAnsi="宋体"/>
          <w:sz w:val="24"/>
        </w:rPr>
      </w:pPr>
      <w:r>
        <w:rPr>
          <w:rFonts w:hint="eastAsia" w:ascii="宋体" w:hAnsi="宋体"/>
          <w:sz w:val="24"/>
        </w:rPr>
        <w:t>7、项目需设置项目总负责人、安全生产管理人员等，设置人员数量及资质要求如下表：</w:t>
      </w:r>
    </w:p>
    <w:tbl>
      <w:tblPr>
        <w:tblStyle w:val="9"/>
        <w:tblW w:w="0" w:type="auto"/>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792"/>
        <w:gridCol w:w="2126"/>
        <w:gridCol w:w="1346"/>
        <w:gridCol w:w="1392"/>
        <w:gridCol w:w="4349"/>
      </w:tblGrid>
      <w:tr w14:paraId="66007D44">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792" w:type="dxa"/>
            <w:vAlign w:val="center"/>
          </w:tcPr>
          <w:p w14:paraId="46B88A1C">
            <w:pPr>
              <w:widowControl/>
              <w:ind w:left="0" w:firstLine="0" w:firstLineChars="0"/>
              <w:jc w:val="center"/>
              <w:rPr>
                <w:rFonts w:ascii="宋体" w:hAnsi="宋体"/>
                <w:sz w:val="24"/>
              </w:rPr>
            </w:pPr>
            <w:r>
              <w:rPr>
                <w:rFonts w:ascii="宋体" w:hAnsi="宋体"/>
                <w:sz w:val="24"/>
              </w:rPr>
              <w:t>序号</w:t>
            </w:r>
          </w:p>
        </w:tc>
        <w:tc>
          <w:tcPr>
            <w:tcW w:w="2126" w:type="dxa"/>
            <w:vAlign w:val="center"/>
          </w:tcPr>
          <w:p w14:paraId="63B91D68">
            <w:pPr>
              <w:widowControl/>
              <w:ind w:left="0" w:firstLine="0" w:firstLineChars="0"/>
              <w:jc w:val="center"/>
              <w:rPr>
                <w:rFonts w:ascii="宋体" w:hAnsi="宋体"/>
                <w:sz w:val="24"/>
              </w:rPr>
            </w:pPr>
            <w:r>
              <w:rPr>
                <w:rFonts w:ascii="宋体" w:hAnsi="宋体"/>
                <w:sz w:val="24"/>
              </w:rPr>
              <w:t>设置人员</w:t>
            </w:r>
          </w:p>
        </w:tc>
        <w:tc>
          <w:tcPr>
            <w:tcW w:w="1346" w:type="dxa"/>
            <w:vAlign w:val="center"/>
          </w:tcPr>
          <w:p w14:paraId="440C8E43">
            <w:pPr>
              <w:widowControl/>
              <w:ind w:left="0" w:firstLine="0" w:firstLineChars="0"/>
              <w:jc w:val="center"/>
              <w:rPr>
                <w:rFonts w:ascii="宋体" w:hAnsi="宋体"/>
                <w:sz w:val="24"/>
              </w:rPr>
            </w:pPr>
            <w:r>
              <w:rPr>
                <w:rFonts w:ascii="宋体" w:hAnsi="宋体"/>
                <w:sz w:val="24"/>
              </w:rPr>
              <w:t>数量</w:t>
            </w:r>
          </w:p>
        </w:tc>
        <w:tc>
          <w:tcPr>
            <w:tcW w:w="1392" w:type="dxa"/>
            <w:vAlign w:val="center"/>
          </w:tcPr>
          <w:p w14:paraId="6A09D4C6">
            <w:pPr>
              <w:widowControl/>
              <w:ind w:left="0" w:firstLine="0" w:firstLineChars="0"/>
              <w:jc w:val="center"/>
              <w:rPr>
                <w:rFonts w:ascii="宋体" w:hAnsi="宋体"/>
                <w:sz w:val="24"/>
              </w:rPr>
            </w:pPr>
            <w:r>
              <w:rPr>
                <w:rFonts w:ascii="宋体" w:hAnsi="宋体"/>
                <w:sz w:val="24"/>
              </w:rPr>
              <w:t>单位</w:t>
            </w:r>
          </w:p>
        </w:tc>
        <w:tc>
          <w:tcPr>
            <w:tcW w:w="4349" w:type="dxa"/>
            <w:vAlign w:val="center"/>
          </w:tcPr>
          <w:p w14:paraId="3D4A1F43">
            <w:pPr>
              <w:widowControl/>
              <w:ind w:left="0" w:firstLine="0" w:firstLineChars="0"/>
              <w:jc w:val="center"/>
              <w:rPr>
                <w:rFonts w:ascii="宋体" w:hAnsi="宋体"/>
                <w:sz w:val="24"/>
              </w:rPr>
            </w:pPr>
            <w:r>
              <w:rPr>
                <w:rFonts w:ascii="宋体" w:hAnsi="宋体"/>
                <w:sz w:val="24"/>
              </w:rPr>
              <w:t>资质要求</w:t>
            </w:r>
          </w:p>
        </w:tc>
      </w:tr>
      <w:tr w14:paraId="0E29C58F">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792" w:type="dxa"/>
            <w:vAlign w:val="center"/>
          </w:tcPr>
          <w:p w14:paraId="7CCD6180">
            <w:pPr>
              <w:widowControl/>
              <w:ind w:left="0" w:firstLine="0" w:firstLineChars="0"/>
              <w:jc w:val="center"/>
              <w:rPr>
                <w:rFonts w:ascii="宋体" w:hAnsi="宋体"/>
                <w:sz w:val="24"/>
              </w:rPr>
            </w:pPr>
            <w:r>
              <w:rPr>
                <w:rFonts w:hint="eastAsia" w:ascii="宋体" w:hAnsi="宋体"/>
                <w:sz w:val="24"/>
              </w:rPr>
              <w:t>1</w:t>
            </w:r>
          </w:p>
        </w:tc>
        <w:tc>
          <w:tcPr>
            <w:tcW w:w="2126" w:type="dxa"/>
            <w:vAlign w:val="center"/>
          </w:tcPr>
          <w:p w14:paraId="7C9E6C72">
            <w:pPr>
              <w:widowControl/>
              <w:ind w:left="0" w:firstLine="0" w:firstLineChars="0"/>
              <w:jc w:val="center"/>
              <w:rPr>
                <w:rFonts w:ascii="宋体" w:hAnsi="宋体"/>
                <w:sz w:val="24"/>
              </w:rPr>
            </w:pPr>
            <w:r>
              <w:rPr>
                <w:rFonts w:ascii="宋体" w:hAnsi="宋体"/>
                <w:sz w:val="24"/>
              </w:rPr>
              <w:t>项目总负责人</w:t>
            </w:r>
          </w:p>
        </w:tc>
        <w:tc>
          <w:tcPr>
            <w:tcW w:w="1346" w:type="dxa"/>
            <w:vAlign w:val="center"/>
          </w:tcPr>
          <w:p w14:paraId="4CD9ACDB">
            <w:pPr>
              <w:widowControl/>
              <w:ind w:left="0" w:firstLine="0" w:firstLineChars="0"/>
              <w:jc w:val="center"/>
              <w:rPr>
                <w:rFonts w:ascii="宋体" w:hAnsi="宋体"/>
                <w:sz w:val="24"/>
              </w:rPr>
            </w:pPr>
            <w:r>
              <w:rPr>
                <w:rFonts w:hint="eastAsia" w:ascii="宋体" w:hAnsi="宋体"/>
                <w:sz w:val="24"/>
              </w:rPr>
              <w:t>1</w:t>
            </w:r>
          </w:p>
        </w:tc>
        <w:tc>
          <w:tcPr>
            <w:tcW w:w="1392" w:type="dxa"/>
            <w:vAlign w:val="center"/>
          </w:tcPr>
          <w:p w14:paraId="2492CC2D">
            <w:pPr>
              <w:widowControl/>
              <w:ind w:left="0" w:firstLine="0" w:firstLineChars="0"/>
              <w:jc w:val="center"/>
              <w:rPr>
                <w:rFonts w:ascii="宋体" w:hAnsi="宋体"/>
                <w:sz w:val="24"/>
              </w:rPr>
            </w:pPr>
            <w:r>
              <w:rPr>
                <w:rFonts w:ascii="宋体" w:hAnsi="宋体"/>
                <w:sz w:val="24"/>
              </w:rPr>
              <w:t>名</w:t>
            </w:r>
          </w:p>
        </w:tc>
        <w:tc>
          <w:tcPr>
            <w:tcW w:w="4349" w:type="dxa"/>
            <w:vAlign w:val="center"/>
          </w:tcPr>
          <w:p w14:paraId="0B6ADE0D">
            <w:pPr>
              <w:widowControl/>
              <w:ind w:left="0" w:firstLine="0" w:firstLineChars="0"/>
              <w:jc w:val="center"/>
              <w:rPr>
                <w:rFonts w:hint="default" w:ascii="宋体" w:hAnsi="宋体" w:eastAsia="宋体"/>
                <w:sz w:val="24"/>
                <w:lang w:val="en-US" w:eastAsia="zh-CN"/>
              </w:rPr>
            </w:pPr>
            <w:r>
              <w:rPr>
                <w:rFonts w:ascii="宋体" w:hAnsi="宋体"/>
                <w:sz w:val="24"/>
              </w:rPr>
              <w:t>二级建造师</w:t>
            </w:r>
            <w:r>
              <w:rPr>
                <w:rFonts w:hint="eastAsia" w:ascii="宋体" w:hAnsi="宋体"/>
                <w:sz w:val="24"/>
                <w:lang w:eastAsia="zh-CN"/>
              </w:rPr>
              <w:t>，</w:t>
            </w:r>
            <w:r>
              <w:rPr>
                <w:rFonts w:hint="eastAsia" w:ascii="宋体" w:hAnsi="宋体"/>
                <w:color w:val="auto"/>
                <w:sz w:val="24"/>
                <w:lang w:val="en-US" w:eastAsia="zh-CN"/>
              </w:rPr>
              <w:t>专业：市政公用工程</w:t>
            </w:r>
          </w:p>
        </w:tc>
      </w:tr>
      <w:tr w14:paraId="65A41338">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792" w:type="dxa"/>
            <w:vAlign w:val="center"/>
          </w:tcPr>
          <w:p w14:paraId="0E687D3D">
            <w:pPr>
              <w:widowControl/>
              <w:ind w:left="0" w:firstLine="0" w:firstLineChars="0"/>
              <w:jc w:val="center"/>
              <w:rPr>
                <w:rFonts w:ascii="宋体" w:hAnsi="宋体"/>
                <w:sz w:val="24"/>
              </w:rPr>
            </w:pPr>
            <w:r>
              <w:rPr>
                <w:rFonts w:hint="eastAsia" w:ascii="宋体" w:hAnsi="宋体"/>
                <w:sz w:val="24"/>
              </w:rPr>
              <w:t>2</w:t>
            </w:r>
          </w:p>
        </w:tc>
        <w:tc>
          <w:tcPr>
            <w:tcW w:w="2126" w:type="dxa"/>
            <w:vAlign w:val="center"/>
          </w:tcPr>
          <w:p w14:paraId="324E50C9">
            <w:pPr>
              <w:widowControl/>
              <w:ind w:left="0" w:firstLine="0" w:firstLineChars="0"/>
              <w:jc w:val="center"/>
              <w:rPr>
                <w:rFonts w:ascii="宋体" w:hAnsi="宋体"/>
                <w:sz w:val="24"/>
              </w:rPr>
            </w:pPr>
            <w:r>
              <w:rPr>
                <w:rFonts w:ascii="宋体" w:hAnsi="宋体"/>
                <w:sz w:val="24"/>
              </w:rPr>
              <w:t>安全生产管理人</w:t>
            </w:r>
          </w:p>
        </w:tc>
        <w:tc>
          <w:tcPr>
            <w:tcW w:w="1346" w:type="dxa"/>
            <w:vAlign w:val="center"/>
          </w:tcPr>
          <w:p w14:paraId="1FC77EB3">
            <w:pPr>
              <w:widowControl/>
              <w:ind w:left="0" w:firstLine="0" w:firstLineChars="0"/>
              <w:jc w:val="center"/>
              <w:rPr>
                <w:rFonts w:ascii="宋体" w:hAnsi="宋体"/>
                <w:sz w:val="24"/>
              </w:rPr>
            </w:pPr>
            <w:r>
              <w:rPr>
                <w:rFonts w:hint="eastAsia" w:ascii="宋体" w:hAnsi="宋体"/>
                <w:sz w:val="24"/>
              </w:rPr>
              <w:t>1</w:t>
            </w:r>
          </w:p>
        </w:tc>
        <w:tc>
          <w:tcPr>
            <w:tcW w:w="1392" w:type="dxa"/>
            <w:vAlign w:val="center"/>
          </w:tcPr>
          <w:p w14:paraId="6B1FD04B">
            <w:pPr>
              <w:widowControl/>
              <w:ind w:left="0" w:firstLine="0" w:firstLineChars="0"/>
              <w:jc w:val="center"/>
              <w:rPr>
                <w:rFonts w:ascii="宋体" w:hAnsi="宋体"/>
                <w:sz w:val="24"/>
              </w:rPr>
            </w:pPr>
            <w:r>
              <w:rPr>
                <w:rFonts w:ascii="宋体" w:hAnsi="宋体"/>
                <w:sz w:val="24"/>
              </w:rPr>
              <w:t>名</w:t>
            </w:r>
          </w:p>
        </w:tc>
        <w:tc>
          <w:tcPr>
            <w:tcW w:w="4349" w:type="dxa"/>
            <w:vAlign w:val="center"/>
          </w:tcPr>
          <w:p w14:paraId="765D2906">
            <w:pPr>
              <w:widowControl/>
              <w:ind w:left="0" w:firstLine="0" w:firstLineChars="0"/>
              <w:jc w:val="center"/>
              <w:rPr>
                <w:rFonts w:ascii="宋体" w:hAnsi="宋体"/>
                <w:sz w:val="24"/>
              </w:rPr>
            </w:pPr>
            <w:r>
              <w:rPr>
                <w:rFonts w:ascii="宋体" w:hAnsi="宋体"/>
                <w:sz w:val="24"/>
              </w:rPr>
              <w:t>具备建筑施工企业专职安全生产管理人员安全生产考核合格证书</w:t>
            </w:r>
          </w:p>
        </w:tc>
      </w:tr>
      <w:tr w14:paraId="4802565E">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792" w:type="dxa"/>
            <w:vAlign w:val="center"/>
          </w:tcPr>
          <w:p w14:paraId="398862E6">
            <w:pPr>
              <w:widowControl/>
              <w:ind w:left="0" w:firstLine="0" w:firstLineChars="0"/>
              <w:jc w:val="center"/>
              <w:rPr>
                <w:rFonts w:ascii="宋体" w:hAnsi="宋体"/>
                <w:sz w:val="24"/>
              </w:rPr>
            </w:pPr>
            <w:r>
              <w:rPr>
                <w:rFonts w:hint="eastAsia" w:ascii="宋体" w:hAnsi="宋体"/>
                <w:sz w:val="24"/>
              </w:rPr>
              <w:t>3</w:t>
            </w:r>
          </w:p>
        </w:tc>
        <w:tc>
          <w:tcPr>
            <w:tcW w:w="2126" w:type="dxa"/>
            <w:vAlign w:val="center"/>
          </w:tcPr>
          <w:p w14:paraId="65050930">
            <w:pPr>
              <w:widowControl/>
              <w:ind w:left="0" w:firstLine="0" w:firstLineChars="0"/>
              <w:jc w:val="center"/>
              <w:rPr>
                <w:rFonts w:ascii="宋体" w:hAnsi="宋体"/>
                <w:sz w:val="24"/>
              </w:rPr>
            </w:pPr>
            <w:r>
              <w:rPr>
                <w:rFonts w:ascii="宋体" w:hAnsi="宋体"/>
                <w:sz w:val="24"/>
              </w:rPr>
              <w:t>清淤人员</w:t>
            </w:r>
          </w:p>
        </w:tc>
        <w:tc>
          <w:tcPr>
            <w:tcW w:w="1346" w:type="dxa"/>
            <w:vAlign w:val="center"/>
          </w:tcPr>
          <w:p w14:paraId="6C492245">
            <w:pPr>
              <w:widowControl/>
              <w:ind w:left="0" w:firstLine="0" w:firstLineChars="0"/>
              <w:jc w:val="center"/>
              <w:rPr>
                <w:rFonts w:ascii="宋体" w:hAnsi="宋体"/>
                <w:sz w:val="24"/>
              </w:rPr>
            </w:pPr>
            <w:r>
              <w:rPr>
                <w:rFonts w:hint="eastAsia" w:ascii="宋体" w:hAnsi="宋体"/>
                <w:sz w:val="24"/>
              </w:rPr>
              <w:t>1</w:t>
            </w:r>
          </w:p>
        </w:tc>
        <w:tc>
          <w:tcPr>
            <w:tcW w:w="1392" w:type="dxa"/>
            <w:vAlign w:val="center"/>
          </w:tcPr>
          <w:p w14:paraId="2C263CC5">
            <w:pPr>
              <w:widowControl/>
              <w:ind w:left="0" w:firstLine="0" w:firstLineChars="0"/>
              <w:jc w:val="center"/>
              <w:rPr>
                <w:rFonts w:ascii="宋体" w:hAnsi="宋体"/>
                <w:sz w:val="24"/>
              </w:rPr>
            </w:pPr>
            <w:r>
              <w:rPr>
                <w:rFonts w:ascii="宋体" w:hAnsi="宋体"/>
                <w:sz w:val="24"/>
              </w:rPr>
              <w:t>名</w:t>
            </w:r>
          </w:p>
        </w:tc>
        <w:tc>
          <w:tcPr>
            <w:tcW w:w="4349" w:type="dxa"/>
            <w:vAlign w:val="center"/>
          </w:tcPr>
          <w:p w14:paraId="208C3F9A">
            <w:pPr>
              <w:widowControl/>
              <w:ind w:left="0" w:firstLine="0" w:firstLineChars="0"/>
              <w:jc w:val="center"/>
              <w:rPr>
                <w:rFonts w:ascii="宋体" w:hAnsi="宋体"/>
                <w:sz w:val="24"/>
              </w:rPr>
            </w:pPr>
            <w:r>
              <w:rPr>
                <w:rFonts w:ascii="宋体" w:hAnsi="宋体"/>
                <w:sz w:val="24"/>
              </w:rPr>
              <w:t>具备有限空间作业证</w:t>
            </w:r>
          </w:p>
        </w:tc>
      </w:tr>
      <w:tr w14:paraId="544B5576">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792" w:type="dxa"/>
            <w:vAlign w:val="center"/>
          </w:tcPr>
          <w:p w14:paraId="48BDD94A">
            <w:pPr>
              <w:widowControl/>
              <w:ind w:left="0" w:firstLine="0" w:firstLineChars="0"/>
              <w:jc w:val="center"/>
              <w:rPr>
                <w:rFonts w:ascii="宋体" w:hAnsi="宋体"/>
                <w:sz w:val="24"/>
              </w:rPr>
            </w:pPr>
            <w:r>
              <w:rPr>
                <w:rFonts w:hint="eastAsia" w:ascii="宋体" w:hAnsi="宋体"/>
                <w:sz w:val="24"/>
              </w:rPr>
              <w:t>4</w:t>
            </w:r>
          </w:p>
        </w:tc>
        <w:tc>
          <w:tcPr>
            <w:tcW w:w="2126" w:type="dxa"/>
            <w:vAlign w:val="center"/>
          </w:tcPr>
          <w:p w14:paraId="2015F48D">
            <w:pPr>
              <w:widowControl/>
              <w:ind w:left="0" w:firstLine="0" w:firstLineChars="0"/>
              <w:jc w:val="center"/>
              <w:rPr>
                <w:rFonts w:ascii="宋体" w:hAnsi="宋体"/>
                <w:sz w:val="24"/>
              </w:rPr>
            </w:pPr>
            <w:r>
              <w:rPr>
                <w:rFonts w:ascii="宋体" w:hAnsi="宋体"/>
                <w:sz w:val="24"/>
              </w:rPr>
              <w:t>施工人员</w:t>
            </w:r>
          </w:p>
        </w:tc>
        <w:tc>
          <w:tcPr>
            <w:tcW w:w="1346" w:type="dxa"/>
            <w:vAlign w:val="center"/>
          </w:tcPr>
          <w:p w14:paraId="1DDD967A">
            <w:pPr>
              <w:widowControl/>
              <w:ind w:left="0" w:firstLine="0" w:firstLineChars="0"/>
              <w:jc w:val="center"/>
              <w:rPr>
                <w:rFonts w:ascii="宋体" w:hAnsi="宋体"/>
                <w:sz w:val="24"/>
              </w:rPr>
            </w:pPr>
            <w:r>
              <w:rPr>
                <w:rFonts w:hint="eastAsia" w:ascii="宋体" w:hAnsi="宋体"/>
                <w:sz w:val="24"/>
              </w:rPr>
              <w:t>1</w:t>
            </w:r>
          </w:p>
        </w:tc>
        <w:tc>
          <w:tcPr>
            <w:tcW w:w="1392" w:type="dxa"/>
            <w:vAlign w:val="center"/>
          </w:tcPr>
          <w:p w14:paraId="0CF97FD1">
            <w:pPr>
              <w:widowControl/>
              <w:ind w:left="0" w:firstLine="0" w:firstLineChars="0"/>
              <w:jc w:val="center"/>
              <w:rPr>
                <w:rFonts w:ascii="宋体" w:hAnsi="宋体"/>
                <w:sz w:val="24"/>
              </w:rPr>
            </w:pPr>
            <w:r>
              <w:rPr>
                <w:rFonts w:ascii="宋体" w:hAnsi="宋体"/>
                <w:sz w:val="24"/>
              </w:rPr>
              <w:t>名</w:t>
            </w:r>
          </w:p>
        </w:tc>
        <w:tc>
          <w:tcPr>
            <w:tcW w:w="4349" w:type="dxa"/>
            <w:vAlign w:val="center"/>
          </w:tcPr>
          <w:p w14:paraId="722A198E">
            <w:pPr>
              <w:widowControl/>
              <w:ind w:left="0" w:firstLine="0" w:firstLineChars="0"/>
              <w:jc w:val="center"/>
              <w:rPr>
                <w:rFonts w:ascii="宋体" w:hAnsi="宋体"/>
                <w:sz w:val="24"/>
              </w:rPr>
            </w:pPr>
            <w:r>
              <w:rPr>
                <w:rFonts w:ascii="宋体" w:hAnsi="宋体"/>
                <w:sz w:val="24"/>
              </w:rPr>
              <w:t>具备市政施工员证件</w:t>
            </w:r>
          </w:p>
        </w:tc>
      </w:tr>
    </w:tbl>
    <w:p w14:paraId="76791F5B">
      <w:pPr>
        <w:widowControl/>
        <w:numPr>
          <w:ilvl w:val="0"/>
          <w:numId w:val="1"/>
        </w:numPr>
        <w:ind w:right="0" w:firstLineChars="0"/>
        <w:jc w:val="left"/>
        <w:outlineLvl w:val="1"/>
        <w:rPr>
          <w:rFonts w:ascii="宋体" w:hAnsi="宋体"/>
          <w:b/>
          <w:sz w:val="24"/>
        </w:rPr>
      </w:pPr>
      <w:r>
        <w:rPr>
          <w:rFonts w:hint="eastAsia" w:ascii="宋体" w:hAnsi="宋体"/>
          <w:b/>
          <w:sz w:val="24"/>
        </w:rPr>
        <w:t>工期要求</w:t>
      </w:r>
    </w:p>
    <w:p w14:paraId="3F5AB3C7">
      <w:pPr>
        <w:widowControl/>
        <w:numPr>
          <w:ilvl w:val="0"/>
          <w:numId w:val="5"/>
        </w:numPr>
        <w:ind w:right="0" w:firstLineChars="0"/>
        <w:jc w:val="left"/>
        <w:rPr>
          <w:rFonts w:ascii="宋体" w:hAnsi="宋体"/>
          <w:sz w:val="24"/>
        </w:rPr>
      </w:pPr>
      <w:r>
        <w:rPr>
          <w:rFonts w:hint="eastAsia" w:ascii="宋体" w:hAnsi="宋体"/>
          <w:sz w:val="24"/>
        </w:rPr>
        <w:t>工期要求：</w:t>
      </w:r>
      <w:r>
        <w:rPr>
          <w:rFonts w:hint="eastAsia" w:ascii="宋体" w:hAnsi="宋体"/>
          <w:b/>
          <w:bCs/>
          <w:sz w:val="24"/>
          <w:u w:val="single"/>
        </w:rPr>
        <w:t>30</w:t>
      </w:r>
      <w:r>
        <w:rPr>
          <w:rFonts w:hint="eastAsia" w:ascii="宋体" w:hAnsi="宋体"/>
          <w:sz w:val="24"/>
        </w:rPr>
        <w:t>个日历天内验收合格并交付使用。</w:t>
      </w:r>
    </w:p>
    <w:p w14:paraId="02DD5FB0">
      <w:pPr>
        <w:widowControl/>
        <w:numPr>
          <w:ilvl w:val="0"/>
          <w:numId w:val="5"/>
        </w:numPr>
        <w:ind w:right="0" w:firstLineChars="0"/>
        <w:jc w:val="left"/>
        <w:rPr>
          <w:rFonts w:ascii="宋体" w:hAnsi="宋体"/>
          <w:sz w:val="24"/>
        </w:rPr>
      </w:pPr>
      <w:r>
        <w:rPr>
          <w:rFonts w:hint="eastAsia" w:ascii="宋体" w:hAnsi="宋体"/>
          <w:sz w:val="24"/>
        </w:rPr>
        <w:t>以采购人发出书面开工通知起开始计算工期。除设计变更造成工程量增减外，天气变化等原因一律不延长工期。</w:t>
      </w:r>
    </w:p>
    <w:p w14:paraId="3B7B20FB">
      <w:pPr>
        <w:widowControl/>
        <w:numPr>
          <w:ilvl w:val="0"/>
          <w:numId w:val="5"/>
        </w:numPr>
        <w:ind w:right="0" w:firstLineChars="0"/>
        <w:jc w:val="left"/>
        <w:rPr>
          <w:rFonts w:ascii="宋体" w:hAnsi="宋体"/>
          <w:sz w:val="24"/>
        </w:rPr>
      </w:pPr>
      <w:r>
        <w:rPr>
          <w:rFonts w:hint="eastAsia" w:ascii="宋体" w:hAnsi="宋体"/>
          <w:sz w:val="24"/>
        </w:rPr>
        <w:t>完成工期以采购人签认的竣工时间为准。工程实施过程中，出现下列情形，经采购人确认，工期予以顺延:</w:t>
      </w:r>
    </w:p>
    <w:p w14:paraId="6E982B8D">
      <w:pPr>
        <w:widowControl/>
        <w:numPr>
          <w:ilvl w:val="0"/>
          <w:numId w:val="6"/>
        </w:numPr>
        <w:ind w:right="0" w:firstLineChars="0"/>
        <w:jc w:val="left"/>
        <w:rPr>
          <w:rFonts w:ascii="宋体" w:hAnsi="宋体"/>
          <w:sz w:val="24"/>
        </w:rPr>
      </w:pPr>
      <w:r>
        <w:rPr>
          <w:rFonts w:hint="eastAsia" w:ascii="宋体" w:hAnsi="宋体"/>
          <w:sz w:val="24"/>
        </w:rPr>
        <w:t>不可抗因素；</w:t>
      </w:r>
    </w:p>
    <w:p w14:paraId="3A6808F2">
      <w:pPr>
        <w:widowControl/>
        <w:numPr>
          <w:ilvl w:val="0"/>
          <w:numId w:val="6"/>
        </w:numPr>
        <w:ind w:right="0" w:firstLineChars="0"/>
        <w:jc w:val="left"/>
        <w:rPr>
          <w:rFonts w:ascii="宋体" w:hAnsi="宋体"/>
          <w:sz w:val="24"/>
        </w:rPr>
      </w:pPr>
      <w:r>
        <w:rPr>
          <w:rFonts w:hint="eastAsia" w:ascii="宋体" w:hAnsi="宋体"/>
          <w:sz w:val="24"/>
        </w:rPr>
        <w:t>由于设计变更，致使工作量重大增加者（超过总量的10%）。</w:t>
      </w:r>
    </w:p>
    <w:p w14:paraId="08E22976">
      <w:pPr>
        <w:widowControl/>
        <w:numPr>
          <w:ilvl w:val="0"/>
          <w:numId w:val="1"/>
        </w:numPr>
        <w:ind w:right="0" w:firstLineChars="0"/>
        <w:jc w:val="left"/>
        <w:outlineLvl w:val="1"/>
        <w:rPr>
          <w:rFonts w:ascii="宋体" w:hAnsi="宋体"/>
          <w:b/>
          <w:sz w:val="24"/>
        </w:rPr>
      </w:pPr>
      <w:r>
        <w:rPr>
          <w:rFonts w:hint="eastAsia" w:ascii="宋体" w:hAnsi="宋体"/>
          <w:b/>
          <w:sz w:val="24"/>
        </w:rPr>
        <w:t>施工要求</w:t>
      </w:r>
    </w:p>
    <w:p w14:paraId="021DFDC6">
      <w:pPr>
        <w:widowControl/>
        <w:numPr>
          <w:ilvl w:val="0"/>
          <w:numId w:val="7"/>
        </w:numPr>
        <w:ind w:right="0" w:firstLineChars="0"/>
        <w:jc w:val="left"/>
        <w:rPr>
          <w:rFonts w:ascii="宋体" w:hAnsi="宋体"/>
          <w:sz w:val="24"/>
        </w:rPr>
      </w:pPr>
      <w:r>
        <w:rPr>
          <w:rFonts w:hint="eastAsia" w:ascii="宋体" w:hAnsi="宋体"/>
          <w:sz w:val="24"/>
        </w:rPr>
        <w:t>严格按照采购人用户需求要求施工，主材及关系到装修效果的材料在采购前需经采购人确认。</w:t>
      </w:r>
    </w:p>
    <w:p w14:paraId="13C9DB69">
      <w:pPr>
        <w:widowControl/>
        <w:numPr>
          <w:ilvl w:val="0"/>
          <w:numId w:val="7"/>
        </w:numPr>
        <w:ind w:right="0" w:firstLineChars="0"/>
        <w:jc w:val="left"/>
        <w:rPr>
          <w:rFonts w:ascii="宋体" w:hAnsi="宋体"/>
          <w:sz w:val="24"/>
        </w:rPr>
      </w:pPr>
      <w:r>
        <w:rPr>
          <w:rFonts w:hint="eastAsia" w:ascii="宋体" w:hAnsi="宋体"/>
          <w:sz w:val="24"/>
        </w:rPr>
        <w:t>施工质量须满足国家现行相关建筑、装修、机电安装工程规范及标准要求。</w:t>
      </w:r>
    </w:p>
    <w:p w14:paraId="12C33739">
      <w:pPr>
        <w:widowControl/>
        <w:numPr>
          <w:ilvl w:val="0"/>
          <w:numId w:val="7"/>
        </w:numPr>
        <w:ind w:right="0" w:firstLineChars="0"/>
        <w:jc w:val="left"/>
        <w:rPr>
          <w:rFonts w:ascii="宋体" w:hAnsi="宋体"/>
          <w:sz w:val="24"/>
        </w:rPr>
      </w:pPr>
      <w:r>
        <w:rPr>
          <w:rFonts w:hint="eastAsia" w:ascii="宋体" w:hAnsi="宋体"/>
          <w:sz w:val="24"/>
        </w:rPr>
        <w:t>施工过程中须按照国家现行相关安全管理规范及标准做好现场安全文明施工。</w:t>
      </w:r>
    </w:p>
    <w:p w14:paraId="7140CFD0">
      <w:pPr>
        <w:widowControl/>
        <w:numPr>
          <w:ilvl w:val="0"/>
          <w:numId w:val="7"/>
        </w:numPr>
        <w:ind w:right="0" w:firstLineChars="0"/>
        <w:jc w:val="left"/>
        <w:rPr>
          <w:rFonts w:ascii="宋体" w:hAnsi="宋体"/>
          <w:sz w:val="24"/>
        </w:rPr>
      </w:pPr>
      <w:r>
        <w:rPr>
          <w:rFonts w:hint="eastAsia" w:ascii="宋体" w:hAnsi="宋体"/>
          <w:sz w:val="24"/>
        </w:rPr>
        <w:t>成交供应商在施工期间应严格遵守国家、省、市有关防火、爆破和施工安全以及文明施工等规定，建立规章制度和防护措施。否则，由此造成的损失或被有关部门处罚，均由成交供应商负责。</w:t>
      </w:r>
    </w:p>
    <w:p w14:paraId="702BEF4E">
      <w:pPr>
        <w:widowControl/>
        <w:numPr>
          <w:ilvl w:val="0"/>
          <w:numId w:val="7"/>
        </w:numPr>
        <w:ind w:right="0" w:firstLineChars="0"/>
        <w:jc w:val="left"/>
        <w:rPr>
          <w:rFonts w:ascii="宋体" w:hAnsi="宋体"/>
          <w:sz w:val="24"/>
        </w:rPr>
      </w:pPr>
      <w:r>
        <w:rPr>
          <w:rFonts w:hint="eastAsia" w:ascii="宋体" w:hAnsi="宋体"/>
          <w:sz w:val="24"/>
        </w:rPr>
        <w:t>成交供应商应按安全施工的要求，遵守一切医院的规章制度，采取严格科学的安全措施，确保施工安全和第三者的安全，承担由于自身安全不力造成事故责任和发生的费用。</w:t>
      </w:r>
    </w:p>
    <w:p w14:paraId="62969CAD">
      <w:pPr>
        <w:widowControl/>
        <w:numPr>
          <w:ilvl w:val="0"/>
          <w:numId w:val="7"/>
        </w:numPr>
        <w:ind w:right="0" w:firstLineChars="0"/>
        <w:jc w:val="left"/>
        <w:rPr>
          <w:rFonts w:ascii="宋体" w:hAnsi="宋体"/>
          <w:sz w:val="24"/>
        </w:rPr>
      </w:pPr>
      <w:r>
        <w:rPr>
          <w:rFonts w:hint="eastAsia" w:ascii="宋体" w:hAnsi="宋体"/>
          <w:sz w:val="24"/>
        </w:rPr>
        <w:t>成交供应商必须确保施工现场的清洁卫生，建筑垃圾必须当日清理干净，不得留在现场过夜。</w:t>
      </w:r>
    </w:p>
    <w:p w14:paraId="635DDF7B">
      <w:pPr>
        <w:widowControl/>
        <w:numPr>
          <w:ilvl w:val="0"/>
          <w:numId w:val="7"/>
        </w:numPr>
        <w:ind w:right="0" w:firstLineChars="0"/>
        <w:jc w:val="left"/>
        <w:rPr>
          <w:rFonts w:ascii="宋体" w:hAnsi="宋体"/>
          <w:sz w:val="24"/>
        </w:rPr>
      </w:pPr>
      <w:r>
        <w:rPr>
          <w:rFonts w:hint="eastAsia" w:ascii="宋体" w:hAnsi="宋体"/>
          <w:sz w:val="24"/>
        </w:rPr>
        <w:t>成交供应商在施工过程中，如遇到需与外部相关的单位协调的问题时，应自行解决，采购人只负责协助。</w:t>
      </w:r>
    </w:p>
    <w:p w14:paraId="6523B628">
      <w:pPr>
        <w:widowControl/>
        <w:numPr>
          <w:ilvl w:val="0"/>
          <w:numId w:val="7"/>
        </w:numPr>
        <w:ind w:right="0" w:firstLineChars="0"/>
        <w:jc w:val="left"/>
        <w:rPr>
          <w:rFonts w:ascii="宋体" w:hAnsi="宋体"/>
          <w:sz w:val="24"/>
        </w:rPr>
      </w:pPr>
      <w:r>
        <w:rPr>
          <w:rFonts w:hint="eastAsia" w:ascii="宋体" w:hAnsi="宋体"/>
          <w:sz w:val="24"/>
        </w:rPr>
        <w:t>项目施工期间不得影响科室的正常运营。</w:t>
      </w:r>
    </w:p>
    <w:p w14:paraId="0BAE09B1">
      <w:pPr>
        <w:widowControl/>
        <w:numPr>
          <w:ilvl w:val="0"/>
          <w:numId w:val="7"/>
        </w:numPr>
        <w:ind w:right="0" w:firstLineChars="0"/>
        <w:jc w:val="left"/>
        <w:rPr>
          <w:rFonts w:ascii="宋体" w:hAnsi="宋体"/>
          <w:sz w:val="24"/>
        </w:rPr>
      </w:pPr>
      <w:r>
        <w:rPr>
          <w:rFonts w:hint="eastAsia" w:ascii="宋体" w:hAnsi="宋体"/>
          <w:sz w:val="24"/>
        </w:rPr>
        <w:t>项目施工的临水、临电由采购人提供接驳口，接驳口以外的范围由成交供应商负责，水电费由采购人负责。</w:t>
      </w:r>
    </w:p>
    <w:p w14:paraId="198AFA81">
      <w:pPr>
        <w:widowControl/>
        <w:ind w:left="48" w:hanging="48" w:hangingChars="20"/>
        <w:jc w:val="left"/>
        <w:rPr>
          <w:rFonts w:ascii="宋体" w:hAnsi="宋体"/>
          <w:b/>
          <w:sz w:val="24"/>
        </w:rPr>
      </w:pPr>
      <w:r>
        <w:rPr>
          <w:rFonts w:hint="eastAsia" w:ascii="宋体" w:hAnsi="宋体"/>
          <w:b/>
          <w:sz w:val="24"/>
        </w:rPr>
        <w:t>五、验收</w:t>
      </w:r>
    </w:p>
    <w:p w14:paraId="2050CF53">
      <w:pPr>
        <w:widowControl/>
        <w:ind w:left="-141" w:leftChars="-67" w:firstLine="120" w:firstLineChars="50"/>
        <w:jc w:val="left"/>
        <w:rPr>
          <w:rFonts w:ascii="宋体" w:hAnsi="宋体"/>
          <w:sz w:val="24"/>
        </w:rPr>
      </w:pPr>
      <w:r>
        <w:rPr>
          <w:rFonts w:hint="eastAsia" w:ascii="宋体" w:hAnsi="宋体"/>
          <w:sz w:val="24"/>
        </w:rPr>
        <w:t>1.本项目按国家、省、市现行的相关质量评定标准和施工验收规范、规程及招标文件相关要求进行施工和验收。</w:t>
      </w:r>
    </w:p>
    <w:p w14:paraId="44C21D3E">
      <w:pPr>
        <w:widowControl/>
        <w:ind w:left="120" w:hanging="120"/>
        <w:jc w:val="left"/>
        <w:rPr>
          <w:rFonts w:ascii="宋体" w:hAnsi="宋体"/>
          <w:sz w:val="24"/>
        </w:rPr>
      </w:pPr>
      <w:r>
        <w:rPr>
          <w:rFonts w:hint="eastAsia" w:ascii="宋体" w:hAnsi="宋体"/>
          <w:sz w:val="24"/>
        </w:rPr>
        <w:t>2.符合</w:t>
      </w:r>
      <w:r>
        <w:rPr>
          <w:rFonts w:hint="eastAsia" w:ascii="宋体" w:hAnsi="宋体"/>
          <w:color w:val="auto"/>
          <w:sz w:val="24"/>
          <w:lang w:eastAsia="zh-CN"/>
        </w:rPr>
        <w:t>《</w:t>
      </w:r>
      <w:r>
        <w:rPr>
          <w:rFonts w:hint="eastAsia" w:ascii="宋体" w:hAnsi="宋体"/>
          <w:color w:val="auto"/>
          <w:sz w:val="24"/>
        </w:rPr>
        <w:t>给水排水管道工程施工及验收规范</w:t>
      </w:r>
      <w:r>
        <w:rPr>
          <w:rFonts w:hint="eastAsia" w:ascii="宋体" w:hAnsi="宋体"/>
          <w:color w:val="auto"/>
          <w:sz w:val="24"/>
          <w:lang w:eastAsia="zh-CN"/>
        </w:rPr>
        <w:t>》</w:t>
      </w:r>
      <w:r>
        <w:rPr>
          <w:rFonts w:hint="eastAsia" w:ascii="宋体" w:hAnsi="宋体"/>
          <w:color w:val="auto"/>
          <w:sz w:val="24"/>
        </w:rPr>
        <w:t>GB 50268-2008</w:t>
      </w:r>
      <w:r>
        <w:rPr>
          <w:rFonts w:hint="eastAsia" w:ascii="宋体" w:hAnsi="宋体"/>
          <w:sz w:val="24"/>
          <w:lang w:val="en-US" w:eastAsia="zh-CN"/>
        </w:rPr>
        <w:t>及</w:t>
      </w:r>
      <w:r>
        <w:rPr>
          <w:rFonts w:hint="eastAsia" w:ascii="宋体" w:hAnsi="宋体"/>
          <w:sz w:val="24"/>
        </w:rPr>
        <w:t>《建筑工程施工质量验收统一标准》GB50300-2013。</w:t>
      </w:r>
    </w:p>
    <w:p w14:paraId="15372C0C">
      <w:pPr>
        <w:widowControl/>
        <w:ind w:left="120" w:hanging="120"/>
        <w:jc w:val="left"/>
        <w:rPr>
          <w:rFonts w:ascii="宋体" w:hAnsi="宋体"/>
          <w:sz w:val="24"/>
        </w:rPr>
      </w:pPr>
      <w:r>
        <w:rPr>
          <w:rFonts w:hint="eastAsia" w:ascii="宋体" w:hAnsi="宋体"/>
          <w:sz w:val="24"/>
        </w:rPr>
        <w:t>3.项目施工及验收须满足采购人要求。</w:t>
      </w:r>
    </w:p>
    <w:p w14:paraId="68A667DD">
      <w:pPr>
        <w:spacing w:line="440" w:lineRule="exact"/>
        <w:ind w:left="120" w:hanging="120"/>
        <w:rPr>
          <w:rFonts w:ascii="宋体" w:hAnsi="宋体"/>
          <w:b/>
          <w:bCs/>
          <w:sz w:val="24"/>
        </w:rPr>
      </w:pPr>
      <w:r>
        <w:rPr>
          <w:rFonts w:hint="eastAsia" w:ascii="宋体" w:hAnsi="宋体"/>
          <w:b/>
          <w:bCs/>
          <w:sz w:val="24"/>
        </w:rPr>
        <w:t>六、工程结算</w:t>
      </w:r>
    </w:p>
    <w:p w14:paraId="6474220C">
      <w:pPr>
        <w:widowControl/>
        <w:ind w:left="0" w:firstLine="480" w:firstLineChars="200"/>
        <w:jc w:val="left"/>
        <w:rPr>
          <w:rFonts w:ascii="宋体" w:hAnsi="宋体"/>
          <w:sz w:val="24"/>
        </w:rPr>
      </w:pPr>
      <w:r>
        <w:rPr>
          <w:rFonts w:hint="eastAsia" w:ascii="宋体" w:hAnsi="宋体"/>
          <w:sz w:val="24"/>
        </w:rPr>
        <w:t>本工程完成后，成交供应商按采购人要求提交竣工资料，经采购人验收合格后，由成交供应商</w:t>
      </w:r>
    </w:p>
    <w:p w14:paraId="49822850">
      <w:pPr>
        <w:widowControl/>
        <w:ind w:left="0" w:firstLine="0" w:firstLineChars="0"/>
        <w:jc w:val="left"/>
        <w:rPr>
          <w:rFonts w:ascii="宋体" w:hAnsi="宋体"/>
          <w:sz w:val="24"/>
        </w:rPr>
      </w:pPr>
      <w:r>
        <w:rPr>
          <w:rFonts w:hint="eastAsia" w:ascii="宋体" w:hAnsi="宋体"/>
          <w:sz w:val="24"/>
        </w:rPr>
        <w:t>开具工程结算价全额发票，采购人付至结算总额的97%，余下3%作为质量保金额。办理结算前，中标人应按档案资料移交规定将本合同项下工程的全部档案资料完整移交给采购人，否则，采购人有权暂缓办理结算，中标人应无条件移交工程；中标人拒绝移交工程的，应承担工期延误违约责任，</w:t>
      </w:r>
    </w:p>
    <w:p w14:paraId="04E5CDE7">
      <w:pPr>
        <w:widowControl/>
        <w:ind w:left="120" w:hanging="120"/>
        <w:jc w:val="left"/>
        <w:rPr>
          <w:rFonts w:ascii="宋体" w:hAnsi="宋体"/>
          <w:sz w:val="24"/>
        </w:rPr>
      </w:pPr>
      <w:r>
        <w:rPr>
          <w:rFonts w:hint="eastAsia" w:ascii="宋体" w:hAnsi="宋体"/>
          <w:sz w:val="24"/>
        </w:rPr>
        <w:t>每延期一天扣款5000元，扣款上限为合同金额的30%。</w:t>
      </w:r>
    </w:p>
    <w:p w14:paraId="6FA5230C">
      <w:pPr>
        <w:widowControl/>
        <w:ind w:left="120" w:hanging="120"/>
        <w:jc w:val="left"/>
        <w:rPr>
          <w:rFonts w:ascii="宋体" w:hAnsi="宋体"/>
          <w:b/>
          <w:sz w:val="24"/>
        </w:rPr>
      </w:pPr>
      <w:r>
        <w:rPr>
          <w:rFonts w:hint="eastAsia" w:ascii="宋体" w:hAnsi="宋体"/>
          <w:b/>
          <w:sz w:val="24"/>
        </w:rPr>
        <w:t>七、保修期及要求</w:t>
      </w:r>
    </w:p>
    <w:p w14:paraId="777F7BCE">
      <w:pPr>
        <w:widowControl/>
        <w:ind w:left="120" w:hanging="120"/>
        <w:jc w:val="left"/>
        <w:rPr>
          <w:rFonts w:ascii="宋体" w:hAnsi="宋体"/>
          <w:sz w:val="24"/>
        </w:rPr>
      </w:pPr>
      <w:r>
        <w:rPr>
          <w:rFonts w:hint="eastAsia" w:ascii="宋体" w:hAnsi="宋体"/>
          <w:sz w:val="24"/>
        </w:rPr>
        <w:t>1．保修期为</w:t>
      </w:r>
      <w:r>
        <w:rPr>
          <w:rFonts w:hint="eastAsia" w:ascii="宋体" w:hAnsi="宋体"/>
          <w:sz w:val="24"/>
          <w:u w:val="single"/>
        </w:rPr>
        <w:t>2</w:t>
      </w:r>
      <w:r>
        <w:rPr>
          <w:rFonts w:hint="eastAsia" w:ascii="宋体" w:hAnsi="宋体"/>
          <w:sz w:val="24"/>
        </w:rPr>
        <w:t>年，保修期自竣工验收之日起计算。</w:t>
      </w:r>
    </w:p>
    <w:p w14:paraId="2E67DD37">
      <w:pPr>
        <w:widowControl/>
        <w:ind w:left="120" w:hanging="120"/>
        <w:jc w:val="left"/>
        <w:rPr>
          <w:rFonts w:ascii="宋体" w:hAnsi="宋体"/>
          <w:sz w:val="24"/>
        </w:rPr>
      </w:pPr>
      <w:r>
        <w:rPr>
          <w:rFonts w:hint="eastAsia" w:ascii="宋体" w:hAnsi="宋体"/>
          <w:sz w:val="24"/>
        </w:rPr>
        <w:t>2.保修期内因质量或工艺问题（人为损坏及自然灾害除外），成交供应商应免费保修（包工包料）。</w:t>
      </w:r>
    </w:p>
    <w:p w14:paraId="12BEC13A">
      <w:pPr>
        <w:widowControl/>
        <w:ind w:left="120" w:hanging="120"/>
        <w:jc w:val="left"/>
        <w:rPr>
          <w:rFonts w:ascii="宋体" w:hAnsi="宋体"/>
          <w:b/>
          <w:bCs/>
          <w:sz w:val="24"/>
        </w:rPr>
      </w:pPr>
      <w:r>
        <w:rPr>
          <w:rFonts w:hint="eastAsia" w:ascii="宋体" w:hAnsi="宋体"/>
          <w:sz w:val="24"/>
        </w:rPr>
        <w:t xml:space="preserve">3.保修期及文件中未列明的其他项目的保修期按国家现行的质量保修办法的规定执行。      </w:t>
      </w:r>
    </w:p>
    <w:p w14:paraId="39CB1302">
      <w:pPr>
        <w:widowControl/>
        <w:ind w:left="120" w:hanging="120"/>
        <w:jc w:val="left"/>
        <w:rPr>
          <w:rFonts w:ascii="宋体" w:hAnsi="宋体"/>
          <w:sz w:val="24"/>
        </w:rPr>
      </w:pPr>
      <w:r>
        <w:rPr>
          <w:rFonts w:hint="eastAsia" w:ascii="宋体" w:hAnsi="宋体"/>
          <w:sz w:val="24"/>
        </w:rPr>
        <w:t>4.保修期内，电话24小时响应，3小时内到场，3天内完成修复处理。如成交供应商未按约定时间进行维修，采购人可另行安排人员维修，所产生的相关费用由成交供应商承担，在质量保证金中扣除。</w:t>
      </w:r>
    </w:p>
    <w:p w14:paraId="28D112E1">
      <w:pPr>
        <w:widowControl/>
        <w:ind w:left="120" w:hanging="120"/>
        <w:jc w:val="left"/>
        <w:rPr>
          <w:rFonts w:ascii="宋体" w:hAnsi="宋体"/>
          <w:b/>
          <w:bCs/>
          <w:sz w:val="24"/>
        </w:rPr>
      </w:pPr>
      <w:r>
        <w:rPr>
          <w:rFonts w:hint="eastAsia" w:ascii="宋体" w:hAnsi="宋体"/>
          <w:b/>
          <w:bCs/>
          <w:sz w:val="24"/>
        </w:rPr>
        <w:t>八、付款方式</w:t>
      </w:r>
    </w:p>
    <w:p w14:paraId="0FF64ADD">
      <w:pPr>
        <w:widowControl/>
        <w:ind w:left="120" w:hanging="120"/>
        <w:jc w:val="left"/>
        <w:rPr>
          <w:rFonts w:ascii="宋体" w:hAnsi="宋体"/>
          <w:sz w:val="24"/>
        </w:rPr>
      </w:pPr>
      <w:r>
        <w:rPr>
          <w:rFonts w:hint="eastAsia" w:ascii="宋体" w:hAnsi="宋体"/>
          <w:sz w:val="24"/>
        </w:rPr>
        <w:t>1.项目完工并验收合格后，由成交供应商开具工程结算全额发票，采购人付至工程结算金额的97%；预留结算金额的3%作为质量保证金，保修期满后一次性无息退还。</w:t>
      </w:r>
    </w:p>
    <w:p w14:paraId="4E9E942C">
      <w:pPr>
        <w:widowControl/>
        <w:ind w:left="120" w:hanging="120"/>
        <w:jc w:val="left"/>
        <w:rPr>
          <w:rFonts w:ascii="宋体" w:hAnsi="宋体"/>
          <w:b/>
          <w:sz w:val="24"/>
        </w:rPr>
      </w:pPr>
      <w:r>
        <w:rPr>
          <w:rFonts w:hint="eastAsia" w:ascii="宋体" w:hAnsi="宋体"/>
          <w:b/>
          <w:sz w:val="24"/>
        </w:rPr>
        <w:t>九、项目清单</w:t>
      </w:r>
    </w:p>
    <w:tbl>
      <w:tblPr>
        <w:tblStyle w:val="8"/>
        <w:tblW w:w="9850" w:type="dxa"/>
        <w:jc w:val="center"/>
        <w:tblLayout w:type="fixed"/>
        <w:tblCellMar>
          <w:top w:w="0" w:type="dxa"/>
          <w:left w:w="108" w:type="dxa"/>
          <w:bottom w:w="0" w:type="dxa"/>
          <w:right w:w="108" w:type="dxa"/>
        </w:tblCellMar>
      </w:tblPr>
      <w:tblGrid>
        <w:gridCol w:w="970"/>
        <w:gridCol w:w="1635"/>
        <w:gridCol w:w="3810"/>
        <w:gridCol w:w="990"/>
        <w:gridCol w:w="1065"/>
        <w:gridCol w:w="1380"/>
      </w:tblGrid>
      <w:tr w14:paraId="39649A2A">
        <w:tblPrEx>
          <w:tblCellMar>
            <w:top w:w="0" w:type="dxa"/>
            <w:left w:w="108" w:type="dxa"/>
            <w:bottom w:w="0" w:type="dxa"/>
            <w:right w:w="108" w:type="dxa"/>
          </w:tblCellMar>
        </w:tblPrEx>
        <w:trPr>
          <w:trHeight w:val="421" w:hRule="atLeast"/>
          <w:jc w:val="center"/>
        </w:trPr>
        <w:tc>
          <w:tcPr>
            <w:tcW w:w="97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C48613C">
            <w:pPr>
              <w:ind w:left="110" w:hanging="110"/>
              <w:jc w:val="center"/>
              <w:rPr>
                <w:rFonts w:ascii="宋体" w:hAnsi="宋体" w:cs="宋体"/>
                <w:color w:val="000000"/>
                <w:sz w:val="22"/>
                <w:szCs w:val="22"/>
              </w:rPr>
            </w:pPr>
            <w:r>
              <w:rPr>
                <w:rFonts w:hint="eastAsia"/>
                <w:color w:val="000000"/>
                <w:sz w:val="22"/>
                <w:szCs w:val="22"/>
              </w:rPr>
              <w:t>序号</w:t>
            </w:r>
          </w:p>
        </w:tc>
        <w:tc>
          <w:tcPr>
            <w:tcW w:w="1635" w:type="dxa"/>
            <w:tcBorders>
              <w:top w:val="single" w:color="auto" w:sz="4" w:space="0"/>
              <w:left w:val="nil"/>
              <w:bottom w:val="single" w:color="auto" w:sz="4" w:space="0"/>
              <w:right w:val="single" w:color="auto" w:sz="4" w:space="0"/>
            </w:tcBorders>
            <w:shd w:val="clear" w:color="auto" w:fill="auto"/>
            <w:noWrap/>
            <w:vAlign w:val="center"/>
          </w:tcPr>
          <w:p w14:paraId="27CCD82A">
            <w:pPr>
              <w:ind w:left="110" w:hanging="110"/>
              <w:jc w:val="center"/>
              <w:rPr>
                <w:rFonts w:ascii="宋体" w:hAnsi="宋体" w:cs="宋体"/>
                <w:color w:val="000000"/>
                <w:sz w:val="22"/>
                <w:szCs w:val="22"/>
              </w:rPr>
            </w:pPr>
            <w:r>
              <w:rPr>
                <w:rFonts w:hint="eastAsia"/>
                <w:color w:val="000000"/>
                <w:sz w:val="22"/>
                <w:szCs w:val="22"/>
              </w:rPr>
              <w:t>项目名称</w:t>
            </w:r>
          </w:p>
        </w:tc>
        <w:tc>
          <w:tcPr>
            <w:tcW w:w="3810" w:type="dxa"/>
            <w:tcBorders>
              <w:top w:val="single" w:color="auto" w:sz="4" w:space="0"/>
              <w:left w:val="nil"/>
              <w:bottom w:val="single" w:color="auto" w:sz="4" w:space="0"/>
              <w:right w:val="single" w:color="auto" w:sz="4" w:space="0"/>
            </w:tcBorders>
            <w:shd w:val="clear" w:color="auto" w:fill="auto"/>
            <w:noWrap/>
            <w:vAlign w:val="center"/>
          </w:tcPr>
          <w:p w14:paraId="1C275395">
            <w:pPr>
              <w:ind w:left="110" w:hanging="110"/>
              <w:jc w:val="center"/>
              <w:rPr>
                <w:rFonts w:ascii="宋体" w:hAnsi="宋体" w:cs="宋体"/>
                <w:color w:val="000000"/>
                <w:sz w:val="22"/>
                <w:szCs w:val="22"/>
              </w:rPr>
            </w:pPr>
            <w:r>
              <w:rPr>
                <w:rFonts w:hint="eastAsia"/>
                <w:color w:val="000000"/>
                <w:sz w:val="22"/>
                <w:szCs w:val="22"/>
              </w:rPr>
              <w:t>项目特征描述</w:t>
            </w:r>
          </w:p>
        </w:tc>
        <w:tc>
          <w:tcPr>
            <w:tcW w:w="990" w:type="dxa"/>
            <w:tcBorders>
              <w:top w:val="single" w:color="auto" w:sz="4" w:space="0"/>
              <w:left w:val="nil"/>
              <w:bottom w:val="single" w:color="auto" w:sz="4" w:space="0"/>
              <w:right w:val="single" w:color="auto" w:sz="4" w:space="0"/>
            </w:tcBorders>
            <w:shd w:val="clear" w:color="auto" w:fill="auto"/>
            <w:noWrap/>
            <w:vAlign w:val="center"/>
          </w:tcPr>
          <w:p w14:paraId="12C62933">
            <w:pPr>
              <w:ind w:left="110" w:hanging="110"/>
              <w:jc w:val="center"/>
              <w:rPr>
                <w:rFonts w:ascii="宋体" w:hAnsi="宋体" w:cs="宋体"/>
                <w:color w:val="000000"/>
                <w:sz w:val="22"/>
                <w:szCs w:val="22"/>
              </w:rPr>
            </w:pPr>
            <w:r>
              <w:rPr>
                <w:rFonts w:hint="eastAsia"/>
                <w:color w:val="000000"/>
                <w:sz w:val="22"/>
                <w:szCs w:val="22"/>
              </w:rPr>
              <w:t>单位</w:t>
            </w:r>
          </w:p>
        </w:tc>
        <w:tc>
          <w:tcPr>
            <w:tcW w:w="1065" w:type="dxa"/>
            <w:tcBorders>
              <w:top w:val="single" w:color="auto" w:sz="4" w:space="0"/>
              <w:left w:val="nil"/>
              <w:bottom w:val="single" w:color="auto" w:sz="4" w:space="0"/>
              <w:right w:val="single" w:color="auto" w:sz="4" w:space="0"/>
            </w:tcBorders>
            <w:shd w:val="clear" w:color="auto" w:fill="auto"/>
            <w:noWrap/>
            <w:vAlign w:val="center"/>
          </w:tcPr>
          <w:p w14:paraId="0FEB25A6">
            <w:pPr>
              <w:ind w:left="110" w:hanging="110"/>
              <w:jc w:val="center"/>
              <w:rPr>
                <w:rFonts w:ascii="宋体" w:hAnsi="宋体" w:cs="宋体"/>
                <w:color w:val="000000"/>
                <w:sz w:val="22"/>
                <w:szCs w:val="22"/>
              </w:rPr>
            </w:pPr>
            <w:r>
              <w:rPr>
                <w:rFonts w:hint="eastAsia"/>
                <w:color w:val="000000"/>
                <w:sz w:val="22"/>
                <w:szCs w:val="22"/>
              </w:rPr>
              <w:t>工程量</w:t>
            </w:r>
          </w:p>
        </w:tc>
        <w:tc>
          <w:tcPr>
            <w:tcW w:w="1380" w:type="dxa"/>
            <w:tcBorders>
              <w:top w:val="single" w:color="auto" w:sz="4" w:space="0"/>
              <w:left w:val="nil"/>
              <w:bottom w:val="single" w:color="auto" w:sz="4" w:space="0"/>
              <w:right w:val="single" w:color="auto" w:sz="4" w:space="0"/>
            </w:tcBorders>
            <w:shd w:val="clear" w:color="auto" w:fill="auto"/>
            <w:noWrap/>
            <w:vAlign w:val="center"/>
          </w:tcPr>
          <w:p w14:paraId="7BF65588">
            <w:pPr>
              <w:ind w:left="110" w:hanging="110"/>
              <w:jc w:val="center"/>
              <w:rPr>
                <w:rFonts w:ascii="宋体" w:hAnsi="宋体" w:cs="宋体"/>
                <w:color w:val="000000"/>
                <w:sz w:val="22"/>
                <w:szCs w:val="22"/>
              </w:rPr>
            </w:pPr>
            <w:r>
              <w:rPr>
                <w:rFonts w:hint="eastAsia"/>
                <w:color w:val="000000"/>
                <w:sz w:val="22"/>
                <w:szCs w:val="22"/>
              </w:rPr>
              <w:t>备注</w:t>
            </w:r>
          </w:p>
        </w:tc>
      </w:tr>
      <w:tr w14:paraId="0968B0D2">
        <w:tblPrEx>
          <w:tblCellMar>
            <w:top w:w="0" w:type="dxa"/>
            <w:left w:w="108" w:type="dxa"/>
            <w:bottom w:w="0" w:type="dxa"/>
            <w:right w:w="108" w:type="dxa"/>
          </w:tblCellMar>
        </w:tblPrEx>
        <w:trPr>
          <w:trHeight w:val="1080" w:hRule="atLeast"/>
          <w:jc w:val="center"/>
        </w:trPr>
        <w:tc>
          <w:tcPr>
            <w:tcW w:w="970" w:type="dxa"/>
            <w:tcBorders>
              <w:top w:val="nil"/>
              <w:left w:val="single" w:color="auto" w:sz="4" w:space="0"/>
              <w:bottom w:val="single" w:color="auto" w:sz="4" w:space="0"/>
              <w:right w:val="single" w:color="auto" w:sz="4" w:space="0"/>
            </w:tcBorders>
            <w:shd w:val="clear" w:color="auto" w:fill="auto"/>
            <w:noWrap/>
            <w:vAlign w:val="center"/>
          </w:tcPr>
          <w:p w14:paraId="70DEE6B6">
            <w:pPr>
              <w:ind w:left="110" w:hanging="110"/>
              <w:jc w:val="center"/>
              <w:rPr>
                <w:rFonts w:ascii="宋体" w:hAnsi="宋体" w:cs="宋体"/>
                <w:color w:val="000000"/>
                <w:sz w:val="22"/>
                <w:szCs w:val="22"/>
              </w:rPr>
            </w:pPr>
            <w:r>
              <w:rPr>
                <w:rFonts w:hint="eastAsia"/>
                <w:color w:val="000000"/>
                <w:sz w:val="22"/>
                <w:szCs w:val="22"/>
              </w:rPr>
              <w:t>1</w:t>
            </w:r>
          </w:p>
        </w:tc>
        <w:tc>
          <w:tcPr>
            <w:tcW w:w="1635" w:type="dxa"/>
            <w:tcBorders>
              <w:top w:val="nil"/>
              <w:left w:val="nil"/>
              <w:bottom w:val="single" w:color="auto" w:sz="4" w:space="0"/>
              <w:right w:val="single" w:color="auto" w:sz="4" w:space="0"/>
            </w:tcBorders>
            <w:shd w:val="clear" w:color="FFFFFF" w:fill="FFFFFF"/>
            <w:vAlign w:val="center"/>
          </w:tcPr>
          <w:p w14:paraId="53F7536D">
            <w:pPr>
              <w:ind w:left="110" w:hanging="110"/>
              <w:jc w:val="center"/>
              <w:rPr>
                <w:rFonts w:ascii="宋体" w:hAnsi="宋体" w:cs="宋体"/>
                <w:sz w:val="22"/>
                <w:szCs w:val="22"/>
              </w:rPr>
            </w:pPr>
            <w:r>
              <w:rPr>
                <w:rFonts w:hint="eastAsia"/>
                <w:sz w:val="22"/>
                <w:szCs w:val="22"/>
              </w:rPr>
              <w:t>拆除路面</w:t>
            </w:r>
          </w:p>
        </w:tc>
        <w:tc>
          <w:tcPr>
            <w:tcW w:w="3810" w:type="dxa"/>
            <w:tcBorders>
              <w:top w:val="nil"/>
              <w:left w:val="nil"/>
              <w:bottom w:val="single" w:color="auto" w:sz="4" w:space="0"/>
              <w:right w:val="nil"/>
            </w:tcBorders>
            <w:shd w:val="clear" w:color="FFFFFF" w:fill="FFFFFF"/>
            <w:vAlign w:val="center"/>
          </w:tcPr>
          <w:p w14:paraId="6AC18AA5">
            <w:pPr>
              <w:ind w:left="110" w:hanging="110"/>
              <w:rPr>
                <w:sz w:val="22"/>
                <w:szCs w:val="22"/>
              </w:rPr>
            </w:pPr>
            <w:r>
              <w:rPr>
                <w:rFonts w:hint="eastAsia"/>
                <w:sz w:val="22"/>
                <w:szCs w:val="22"/>
              </w:rPr>
              <w:t>1.材质：混凝土路面</w:t>
            </w:r>
          </w:p>
          <w:p w14:paraId="1D93DA4A">
            <w:pPr>
              <w:ind w:left="110" w:hanging="110"/>
              <w:rPr>
                <w:sz w:val="22"/>
                <w:szCs w:val="22"/>
              </w:rPr>
            </w:pPr>
            <w:r>
              <w:rPr>
                <w:rFonts w:hint="eastAsia"/>
                <w:sz w:val="22"/>
                <w:szCs w:val="22"/>
              </w:rPr>
              <w:t>2.厚度：18cm</w:t>
            </w:r>
          </w:p>
          <w:p w14:paraId="06956E86">
            <w:pPr>
              <w:ind w:left="110" w:hanging="110"/>
              <w:rPr>
                <w:rFonts w:ascii="宋体" w:hAnsi="宋体" w:cs="宋体"/>
                <w:sz w:val="22"/>
                <w:szCs w:val="22"/>
              </w:rPr>
            </w:pPr>
            <w:r>
              <w:rPr>
                <w:rFonts w:hint="eastAsia"/>
                <w:sz w:val="22"/>
                <w:szCs w:val="22"/>
              </w:rPr>
              <w:t>3.其他：符合图纸设计及其他相关要求</w:t>
            </w:r>
          </w:p>
        </w:tc>
        <w:tc>
          <w:tcPr>
            <w:tcW w:w="990" w:type="dxa"/>
            <w:tcBorders>
              <w:top w:val="nil"/>
              <w:left w:val="single" w:color="auto" w:sz="4" w:space="0"/>
              <w:bottom w:val="single" w:color="auto" w:sz="4" w:space="0"/>
              <w:right w:val="single" w:color="auto" w:sz="4" w:space="0"/>
            </w:tcBorders>
            <w:shd w:val="clear" w:color="FFFFFF" w:fill="FFFFFF"/>
            <w:vAlign w:val="center"/>
          </w:tcPr>
          <w:p w14:paraId="7775494A">
            <w:pPr>
              <w:ind w:left="110" w:hanging="110"/>
              <w:jc w:val="center"/>
              <w:rPr>
                <w:rFonts w:ascii="宋体" w:hAnsi="宋体" w:cs="宋体"/>
                <w:sz w:val="22"/>
                <w:szCs w:val="22"/>
              </w:rPr>
            </w:pPr>
            <w:r>
              <w:rPr>
                <w:rFonts w:hint="eastAsia"/>
                <w:sz w:val="22"/>
                <w:szCs w:val="22"/>
              </w:rPr>
              <w:t>㎡</w:t>
            </w:r>
          </w:p>
        </w:tc>
        <w:tc>
          <w:tcPr>
            <w:tcW w:w="1065" w:type="dxa"/>
            <w:tcBorders>
              <w:top w:val="nil"/>
              <w:left w:val="nil"/>
              <w:bottom w:val="single" w:color="auto" w:sz="4" w:space="0"/>
              <w:right w:val="single" w:color="auto" w:sz="4" w:space="0"/>
            </w:tcBorders>
            <w:shd w:val="clear" w:color="FFFFFF" w:fill="FFFFFF"/>
            <w:vAlign w:val="center"/>
          </w:tcPr>
          <w:p w14:paraId="770D2275">
            <w:pPr>
              <w:ind w:left="110" w:hanging="110"/>
              <w:jc w:val="center"/>
              <w:rPr>
                <w:rFonts w:ascii="宋体" w:hAnsi="宋体" w:cs="宋体"/>
                <w:sz w:val="22"/>
                <w:szCs w:val="22"/>
              </w:rPr>
            </w:pPr>
            <w:r>
              <w:rPr>
                <w:rFonts w:hint="eastAsia"/>
                <w:sz w:val="22"/>
                <w:szCs w:val="22"/>
              </w:rPr>
              <w:t>775.39</w:t>
            </w:r>
          </w:p>
        </w:tc>
        <w:tc>
          <w:tcPr>
            <w:tcW w:w="1380" w:type="dxa"/>
            <w:tcBorders>
              <w:top w:val="nil"/>
              <w:left w:val="nil"/>
              <w:bottom w:val="single" w:color="auto" w:sz="4" w:space="0"/>
              <w:right w:val="single" w:color="auto" w:sz="4" w:space="0"/>
            </w:tcBorders>
            <w:shd w:val="clear" w:color="auto" w:fill="auto"/>
            <w:noWrap/>
            <w:vAlign w:val="center"/>
          </w:tcPr>
          <w:p w14:paraId="5D5DF5D5">
            <w:pPr>
              <w:ind w:left="0" w:right="0" w:firstLine="0" w:firstLineChars="0"/>
              <w:jc w:val="center"/>
              <w:rPr>
                <w:rFonts w:ascii="宋体" w:hAnsi="宋体" w:cs="宋体"/>
                <w:color w:val="000000"/>
                <w:sz w:val="22"/>
                <w:szCs w:val="22"/>
              </w:rPr>
            </w:pPr>
          </w:p>
        </w:tc>
      </w:tr>
      <w:tr w14:paraId="4A2DA450">
        <w:tblPrEx>
          <w:tblCellMar>
            <w:top w:w="0" w:type="dxa"/>
            <w:left w:w="108" w:type="dxa"/>
            <w:bottom w:w="0" w:type="dxa"/>
            <w:right w:w="108" w:type="dxa"/>
          </w:tblCellMar>
        </w:tblPrEx>
        <w:trPr>
          <w:trHeight w:val="1080" w:hRule="atLeast"/>
          <w:jc w:val="center"/>
        </w:trPr>
        <w:tc>
          <w:tcPr>
            <w:tcW w:w="970" w:type="dxa"/>
            <w:tcBorders>
              <w:top w:val="nil"/>
              <w:left w:val="single" w:color="auto" w:sz="4" w:space="0"/>
              <w:bottom w:val="single" w:color="auto" w:sz="4" w:space="0"/>
              <w:right w:val="single" w:color="auto" w:sz="4" w:space="0"/>
            </w:tcBorders>
            <w:shd w:val="clear" w:color="auto" w:fill="auto"/>
            <w:noWrap/>
            <w:vAlign w:val="center"/>
          </w:tcPr>
          <w:p w14:paraId="0164F152">
            <w:pPr>
              <w:ind w:left="110" w:hanging="110"/>
              <w:jc w:val="center"/>
              <w:rPr>
                <w:rFonts w:ascii="宋体" w:hAnsi="宋体" w:cs="宋体"/>
                <w:color w:val="000000"/>
                <w:sz w:val="22"/>
                <w:szCs w:val="22"/>
              </w:rPr>
            </w:pPr>
            <w:r>
              <w:rPr>
                <w:rFonts w:hint="eastAsia"/>
                <w:color w:val="000000"/>
                <w:sz w:val="22"/>
                <w:szCs w:val="22"/>
              </w:rPr>
              <w:t>2</w:t>
            </w:r>
          </w:p>
        </w:tc>
        <w:tc>
          <w:tcPr>
            <w:tcW w:w="1635" w:type="dxa"/>
            <w:tcBorders>
              <w:top w:val="nil"/>
              <w:left w:val="nil"/>
              <w:bottom w:val="single" w:color="auto" w:sz="4" w:space="0"/>
              <w:right w:val="single" w:color="auto" w:sz="4" w:space="0"/>
            </w:tcBorders>
            <w:shd w:val="clear" w:color="FFFFFF" w:fill="FFFFFF"/>
            <w:vAlign w:val="center"/>
          </w:tcPr>
          <w:p w14:paraId="0991CF7D">
            <w:pPr>
              <w:ind w:left="110" w:hanging="110"/>
              <w:jc w:val="center"/>
              <w:rPr>
                <w:rFonts w:ascii="宋体" w:hAnsi="宋体" w:cs="宋体"/>
                <w:sz w:val="22"/>
                <w:szCs w:val="22"/>
              </w:rPr>
            </w:pPr>
            <w:r>
              <w:rPr>
                <w:rFonts w:hint="eastAsia"/>
                <w:sz w:val="22"/>
                <w:szCs w:val="22"/>
              </w:rPr>
              <w:t>挖沟槽土方</w:t>
            </w:r>
          </w:p>
        </w:tc>
        <w:tc>
          <w:tcPr>
            <w:tcW w:w="3810" w:type="dxa"/>
            <w:tcBorders>
              <w:top w:val="nil"/>
              <w:left w:val="nil"/>
              <w:bottom w:val="single" w:color="auto" w:sz="4" w:space="0"/>
              <w:right w:val="nil"/>
            </w:tcBorders>
            <w:shd w:val="clear" w:color="FFFFFF" w:fill="FFFFFF"/>
            <w:vAlign w:val="center"/>
          </w:tcPr>
          <w:p w14:paraId="0430BD74">
            <w:pPr>
              <w:ind w:left="110" w:hanging="110"/>
              <w:rPr>
                <w:sz w:val="22"/>
                <w:szCs w:val="22"/>
              </w:rPr>
            </w:pPr>
            <w:r>
              <w:rPr>
                <w:rFonts w:hint="eastAsia"/>
                <w:sz w:val="22"/>
                <w:szCs w:val="22"/>
              </w:rPr>
              <w:t>1.土壤类别：三类土</w:t>
            </w:r>
          </w:p>
          <w:p w14:paraId="2A6D92F8">
            <w:pPr>
              <w:ind w:left="110" w:hanging="110"/>
              <w:rPr>
                <w:sz w:val="22"/>
                <w:szCs w:val="22"/>
              </w:rPr>
            </w:pPr>
            <w:r>
              <w:rPr>
                <w:rFonts w:hint="eastAsia"/>
                <w:sz w:val="22"/>
                <w:szCs w:val="22"/>
              </w:rPr>
              <w:t>2.挖土深度：2m 内</w:t>
            </w:r>
          </w:p>
          <w:p w14:paraId="2C4C511E">
            <w:pPr>
              <w:ind w:left="110" w:hanging="110"/>
              <w:rPr>
                <w:rFonts w:ascii="宋体" w:hAnsi="宋体" w:cs="宋体"/>
                <w:sz w:val="22"/>
                <w:szCs w:val="22"/>
              </w:rPr>
            </w:pPr>
            <w:r>
              <w:rPr>
                <w:rFonts w:hint="eastAsia"/>
                <w:sz w:val="22"/>
                <w:szCs w:val="22"/>
              </w:rPr>
              <w:t>3.其他：符合图纸设计及其他相关要求</w:t>
            </w:r>
          </w:p>
        </w:tc>
        <w:tc>
          <w:tcPr>
            <w:tcW w:w="990" w:type="dxa"/>
            <w:tcBorders>
              <w:top w:val="nil"/>
              <w:left w:val="single" w:color="auto" w:sz="4" w:space="0"/>
              <w:bottom w:val="single" w:color="auto" w:sz="4" w:space="0"/>
              <w:right w:val="single" w:color="auto" w:sz="4" w:space="0"/>
            </w:tcBorders>
            <w:shd w:val="clear" w:color="FFFFFF" w:fill="FFFFFF"/>
            <w:vAlign w:val="center"/>
          </w:tcPr>
          <w:p w14:paraId="13ABCF1F">
            <w:pPr>
              <w:ind w:left="110" w:hanging="110"/>
              <w:jc w:val="center"/>
              <w:rPr>
                <w:rFonts w:ascii="宋体" w:hAnsi="宋体" w:cs="宋体"/>
                <w:sz w:val="22"/>
                <w:szCs w:val="22"/>
              </w:rPr>
            </w:pPr>
            <w:r>
              <w:rPr>
                <w:rFonts w:hint="eastAsia"/>
                <w:sz w:val="22"/>
                <w:szCs w:val="22"/>
              </w:rPr>
              <w:t>m³</w:t>
            </w:r>
          </w:p>
        </w:tc>
        <w:tc>
          <w:tcPr>
            <w:tcW w:w="1065" w:type="dxa"/>
            <w:tcBorders>
              <w:top w:val="nil"/>
              <w:left w:val="nil"/>
              <w:bottom w:val="single" w:color="auto" w:sz="4" w:space="0"/>
              <w:right w:val="single" w:color="auto" w:sz="4" w:space="0"/>
            </w:tcBorders>
            <w:shd w:val="clear" w:color="FFFFFF" w:fill="FFFFFF"/>
            <w:vAlign w:val="center"/>
          </w:tcPr>
          <w:p w14:paraId="0765A665">
            <w:pPr>
              <w:ind w:left="110" w:hanging="110"/>
              <w:jc w:val="center"/>
              <w:rPr>
                <w:rFonts w:ascii="宋体" w:hAnsi="宋体" w:cs="宋体"/>
                <w:sz w:val="22"/>
                <w:szCs w:val="22"/>
              </w:rPr>
            </w:pPr>
            <w:r>
              <w:rPr>
                <w:rFonts w:hint="eastAsia"/>
                <w:sz w:val="22"/>
                <w:szCs w:val="22"/>
              </w:rPr>
              <w:t>505.9565</w:t>
            </w:r>
          </w:p>
        </w:tc>
        <w:tc>
          <w:tcPr>
            <w:tcW w:w="1380" w:type="dxa"/>
            <w:tcBorders>
              <w:top w:val="nil"/>
              <w:left w:val="nil"/>
              <w:bottom w:val="single" w:color="auto" w:sz="4" w:space="0"/>
              <w:right w:val="single" w:color="auto" w:sz="4" w:space="0"/>
            </w:tcBorders>
            <w:shd w:val="clear" w:color="auto" w:fill="auto"/>
            <w:noWrap/>
            <w:vAlign w:val="center"/>
          </w:tcPr>
          <w:p w14:paraId="0D6A490B">
            <w:pPr>
              <w:ind w:left="0" w:right="0" w:firstLine="0" w:firstLineChars="0"/>
              <w:jc w:val="center"/>
              <w:rPr>
                <w:rFonts w:ascii="宋体" w:hAnsi="宋体" w:cs="宋体"/>
                <w:color w:val="000000"/>
                <w:sz w:val="22"/>
                <w:szCs w:val="22"/>
              </w:rPr>
            </w:pPr>
          </w:p>
        </w:tc>
      </w:tr>
      <w:tr w14:paraId="0E0A2384">
        <w:tblPrEx>
          <w:tblCellMar>
            <w:top w:w="0" w:type="dxa"/>
            <w:left w:w="108" w:type="dxa"/>
            <w:bottom w:w="0" w:type="dxa"/>
            <w:right w:w="108" w:type="dxa"/>
          </w:tblCellMar>
        </w:tblPrEx>
        <w:trPr>
          <w:trHeight w:val="1080" w:hRule="atLeast"/>
          <w:jc w:val="center"/>
        </w:trPr>
        <w:tc>
          <w:tcPr>
            <w:tcW w:w="970" w:type="dxa"/>
            <w:tcBorders>
              <w:top w:val="nil"/>
              <w:left w:val="single" w:color="auto" w:sz="4" w:space="0"/>
              <w:bottom w:val="single" w:color="auto" w:sz="4" w:space="0"/>
              <w:right w:val="single" w:color="auto" w:sz="4" w:space="0"/>
            </w:tcBorders>
            <w:shd w:val="clear" w:color="auto" w:fill="auto"/>
            <w:noWrap/>
            <w:vAlign w:val="center"/>
          </w:tcPr>
          <w:p w14:paraId="2746310C">
            <w:pPr>
              <w:ind w:left="110" w:hanging="110"/>
              <w:jc w:val="center"/>
              <w:rPr>
                <w:rFonts w:ascii="宋体" w:hAnsi="宋体" w:cs="宋体"/>
                <w:color w:val="000000"/>
                <w:sz w:val="22"/>
                <w:szCs w:val="22"/>
              </w:rPr>
            </w:pPr>
            <w:r>
              <w:rPr>
                <w:rFonts w:hint="eastAsia"/>
                <w:color w:val="000000"/>
                <w:sz w:val="22"/>
                <w:szCs w:val="22"/>
              </w:rPr>
              <w:t>3</w:t>
            </w:r>
          </w:p>
        </w:tc>
        <w:tc>
          <w:tcPr>
            <w:tcW w:w="1635" w:type="dxa"/>
            <w:tcBorders>
              <w:top w:val="nil"/>
              <w:left w:val="nil"/>
              <w:bottom w:val="single" w:color="auto" w:sz="4" w:space="0"/>
              <w:right w:val="single" w:color="auto" w:sz="4" w:space="0"/>
            </w:tcBorders>
            <w:shd w:val="clear" w:color="FFFFFF" w:fill="FFFFFF"/>
            <w:vAlign w:val="center"/>
          </w:tcPr>
          <w:p w14:paraId="43D7F519">
            <w:pPr>
              <w:ind w:left="110" w:hanging="110"/>
              <w:jc w:val="center"/>
              <w:rPr>
                <w:rFonts w:ascii="宋体" w:hAnsi="宋体" w:cs="宋体"/>
                <w:sz w:val="22"/>
                <w:szCs w:val="22"/>
              </w:rPr>
            </w:pPr>
            <w:r>
              <w:rPr>
                <w:rFonts w:hint="eastAsia"/>
                <w:sz w:val="22"/>
                <w:szCs w:val="22"/>
              </w:rPr>
              <w:t>回填方</w:t>
            </w:r>
          </w:p>
        </w:tc>
        <w:tc>
          <w:tcPr>
            <w:tcW w:w="3810" w:type="dxa"/>
            <w:tcBorders>
              <w:top w:val="nil"/>
              <w:left w:val="nil"/>
              <w:bottom w:val="single" w:color="auto" w:sz="4" w:space="0"/>
              <w:right w:val="nil"/>
            </w:tcBorders>
            <w:shd w:val="clear" w:color="FFFFFF" w:fill="FFFFFF"/>
            <w:vAlign w:val="center"/>
          </w:tcPr>
          <w:p w14:paraId="0B6C9371">
            <w:pPr>
              <w:ind w:left="110" w:hanging="110"/>
              <w:rPr>
                <w:sz w:val="22"/>
                <w:szCs w:val="22"/>
              </w:rPr>
            </w:pPr>
            <w:r>
              <w:rPr>
                <w:rFonts w:hint="eastAsia"/>
                <w:sz w:val="22"/>
                <w:szCs w:val="22"/>
              </w:rPr>
              <w:t>1.密实度要求：≥90%</w:t>
            </w:r>
          </w:p>
          <w:p w14:paraId="6A302188">
            <w:pPr>
              <w:ind w:left="110" w:hanging="110"/>
              <w:rPr>
                <w:sz w:val="22"/>
                <w:szCs w:val="22"/>
              </w:rPr>
            </w:pPr>
            <w:r>
              <w:rPr>
                <w:rFonts w:hint="eastAsia"/>
                <w:sz w:val="22"/>
                <w:szCs w:val="22"/>
              </w:rPr>
              <w:t>2.填方材料品种：中粗砂</w:t>
            </w:r>
          </w:p>
          <w:p w14:paraId="43AB5123">
            <w:pPr>
              <w:ind w:left="110" w:hanging="110"/>
              <w:rPr>
                <w:rFonts w:ascii="宋体" w:hAnsi="宋体" w:cs="宋体"/>
                <w:sz w:val="22"/>
                <w:szCs w:val="22"/>
              </w:rPr>
            </w:pPr>
            <w:r>
              <w:rPr>
                <w:rFonts w:hint="eastAsia"/>
                <w:sz w:val="22"/>
                <w:szCs w:val="22"/>
              </w:rPr>
              <w:t>3.其他：符合图纸设计及其他相关要求</w:t>
            </w:r>
          </w:p>
        </w:tc>
        <w:tc>
          <w:tcPr>
            <w:tcW w:w="990" w:type="dxa"/>
            <w:tcBorders>
              <w:top w:val="nil"/>
              <w:left w:val="single" w:color="auto" w:sz="4" w:space="0"/>
              <w:bottom w:val="single" w:color="auto" w:sz="4" w:space="0"/>
              <w:right w:val="single" w:color="auto" w:sz="4" w:space="0"/>
            </w:tcBorders>
            <w:shd w:val="clear" w:color="FFFFFF" w:fill="FFFFFF"/>
            <w:vAlign w:val="center"/>
          </w:tcPr>
          <w:p w14:paraId="2BAA4B47">
            <w:pPr>
              <w:ind w:left="110" w:hanging="110"/>
              <w:jc w:val="center"/>
              <w:rPr>
                <w:rFonts w:ascii="宋体" w:hAnsi="宋体" w:cs="宋体"/>
                <w:sz w:val="22"/>
                <w:szCs w:val="22"/>
              </w:rPr>
            </w:pPr>
            <w:r>
              <w:rPr>
                <w:rFonts w:hint="eastAsia"/>
                <w:sz w:val="22"/>
                <w:szCs w:val="22"/>
              </w:rPr>
              <w:t>m³</w:t>
            </w:r>
          </w:p>
        </w:tc>
        <w:tc>
          <w:tcPr>
            <w:tcW w:w="1065" w:type="dxa"/>
            <w:tcBorders>
              <w:top w:val="nil"/>
              <w:left w:val="nil"/>
              <w:bottom w:val="single" w:color="auto" w:sz="4" w:space="0"/>
              <w:right w:val="single" w:color="auto" w:sz="4" w:space="0"/>
            </w:tcBorders>
            <w:shd w:val="clear" w:color="FFFFFF" w:fill="FFFFFF"/>
            <w:vAlign w:val="center"/>
          </w:tcPr>
          <w:p w14:paraId="760B3A40">
            <w:pPr>
              <w:ind w:left="110" w:hanging="110"/>
              <w:jc w:val="center"/>
              <w:rPr>
                <w:rFonts w:ascii="宋体" w:hAnsi="宋体" w:cs="宋体"/>
                <w:sz w:val="22"/>
                <w:szCs w:val="22"/>
              </w:rPr>
            </w:pPr>
            <w:r>
              <w:rPr>
                <w:rFonts w:hint="eastAsia"/>
                <w:sz w:val="22"/>
                <w:szCs w:val="22"/>
              </w:rPr>
              <w:t>67.806</w:t>
            </w:r>
          </w:p>
        </w:tc>
        <w:tc>
          <w:tcPr>
            <w:tcW w:w="1380" w:type="dxa"/>
            <w:tcBorders>
              <w:top w:val="nil"/>
              <w:left w:val="nil"/>
              <w:bottom w:val="single" w:color="auto" w:sz="4" w:space="0"/>
              <w:right w:val="single" w:color="auto" w:sz="4" w:space="0"/>
            </w:tcBorders>
            <w:shd w:val="clear" w:color="auto" w:fill="auto"/>
            <w:noWrap/>
            <w:vAlign w:val="center"/>
          </w:tcPr>
          <w:p w14:paraId="7A7C2107">
            <w:pPr>
              <w:ind w:left="0" w:right="0" w:firstLine="0" w:firstLineChars="0"/>
              <w:jc w:val="center"/>
              <w:rPr>
                <w:rFonts w:ascii="宋体" w:hAnsi="宋体" w:cs="宋体"/>
                <w:color w:val="000000"/>
                <w:sz w:val="22"/>
                <w:szCs w:val="22"/>
              </w:rPr>
            </w:pPr>
          </w:p>
        </w:tc>
      </w:tr>
      <w:tr w14:paraId="5E3EA3B1">
        <w:tblPrEx>
          <w:tblCellMar>
            <w:top w:w="0" w:type="dxa"/>
            <w:left w:w="108" w:type="dxa"/>
            <w:bottom w:w="0" w:type="dxa"/>
            <w:right w:w="108" w:type="dxa"/>
          </w:tblCellMar>
        </w:tblPrEx>
        <w:trPr>
          <w:trHeight w:val="1080" w:hRule="atLeast"/>
          <w:jc w:val="center"/>
        </w:trPr>
        <w:tc>
          <w:tcPr>
            <w:tcW w:w="970" w:type="dxa"/>
            <w:tcBorders>
              <w:top w:val="nil"/>
              <w:left w:val="single" w:color="auto" w:sz="4" w:space="0"/>
              <w:bottom w:val="single" w:color="auto" w:sz="4" w:space="0"/>
              <w:right w:val="single" w:color="auto" w:sz="4" w:space="0"/>
            </w:tcBorders>
            <w:shd w:val="clear" w:color="auto" w:fill="auto"/>
            <w:noWrap/>
            <w:vAlign w:val="center"/>
          </w:tcPr>
          <w:p w14:paraId="748D70BD">
            <w:pPr>
              <w:ind w:left="110" w:hanging="110"/>
              <w:jc w:val="center"/>
              <w:rPr>
                <w:rFonts w:ascii="宋体" w:hAnsi="宋体" w:cs="宋体"/>
                <w:color w:val="000000"/>
                <w:sz w:val="22"/>
                <w:szCs w:val="22"/>
              </w:rPr>
            </w:pPr>
            <w:r>
              <w:rPr>
                <w:rFonts w:hint="eastAsia"/>
                <w:color w:val="000000"/>
                <w:sz w:val="22"/>
                <w:szCs w:val="22"/>
              </w:rPr>
              <w:t>4</w:t>
            </w:r>
          </w:p>
        </w:tc>
        <w:tc>
          <w:tcPr>
            <w:tcW w:w="1635" w:type="dxa"/>
            <w:tcBorders>
              <w:top w:val="nil"/>
              <w:left w:val="nil"/>
              <w:bottom w:val="single" w:color="auto" w:sz="4" w:space="0"/>
              <w:right w:val="single" w:color="auto" w:sz="4" w:space="0"/>
            </w:tcBorders>
            <w:shd w:val="clear" w:color="FFFFFF" w:fill="FFFFFF"/>
            <w:vAlign w:val="center"/>
          </w:tcPr>
          <w:p w14:paraId="19A03D44">
            <w:pPr>
              <w:ind w:left="110" w:hanging="110"/>
              <w:jc w:val="center"/>
              <w:rPr>
                <w:rFonts w:ascii="宋体" w:hAnsi="宋体" w:cs="宋体"/>
                <w:sz w:val="22"/>
                <w:szCs w:val="22"/>
              </w:rPr>
            </w:pPr>
            <w:r>
              <w:rPr>
                <w:rFonts w:hint="eastAsia"/>
                <w:sz w:val="22"/>
                <w:szCs w:val="22"/>
              </w:rPr>
              <w:t>回填方</w:t>
            </w:r>
          </w:p>
        </w:tc>
        <w:tc>
          <w:tcPr>
            <w:tcW w:w="3810" w:type="dxa"/>
            <w:tcBorders>
              <w:top w:val="nil"/>
              <w:left w:val="nil"/>
              <w:bottom w:val="single" w:color="auto" w:sz="4" w:space="0"/>
              <w:right w:val="nil"/>
            </w:tcBorders>
            <w:shd w:val="clear" w:color="FFFFFF" w:fill="FFFFFF"/>
            <w:vAlign w:val="center"/>
          </w:tcPr>
          <w:p w14:paraId="3AA7FCAE">
            <w:pPr>
              <w:ind w:left="110" w:hanging="110"/>
              <w:rPr>
                <w:sz w:val="22"/>
                <w:szCs w:val="22"/>
              </w:rPr>
            </w:pPr>
            <w:r>
              <w:rPr>
                <w:rFonts w:hint="eastAsia"/>
                <w:sz w:val="22"/>
                <w:szCs w:val="22"/>
              </w:rPr>
              <w:t>1.密实度要求：≥90%</w:t>
            </w:r>
          </w:p>
          <w:p w14:paraId="436C87B7">
            <w:pPr>
              <w:ind w:left="110" w:hanging="110"/>
              <w:rPr>
                <w:sz w:val="22"/>
                <w:szCs w:val="22"/>
              </w:rPr>
            </w:pPr>
            <w:r>
              <w:rPr>
                <w:rFonts w:hint="eastAsia"/>
                <w:sz w:val="22"/>
                <w:szCs w:val="22"/>
              </w:rPr>
              <w:t>2.填方材料品种：石粉</w:t>
            </w:r>
          </w:p>
          <w:p w14:paraId="0F39AA5C">
            <w:pPr>
              <w:ind w:left="110" w:hanging="110"/>
              <w:rPr>
                <w:rFonts w:ascii="宋体" w:hAnsi="宋体" w:cs="宋体"/>
                <w:sz w:val="22"/>
                <w:szCs w:val="22"/>
              </w:rPr>
            </w:pPr>
            <w:r>
              <w:rPr>
                <w:rFonts w:hint="eastAsia"/>
                <w:sz w:val="22"/>
                <w:szCs w:val="22"/>
              </w:rPr>
              <w:t>3.其他：符合图纸设计及其他相关要求</w:t>
            </w:r>
          </w:p>
        </w:tc>
        <w:tc>
          <w:tcPr>
            <w:tcW w:w="990" w:type="dxa"/>
            <w:tcBorders>
              <w:top w:val="nil"/>
              <w:left w:val="single" w:color="auto" w:sz="4" w:space="0"/>
              <w:bottom w:val="single" w:color="auto" w:sz="4" w:space="0"/>
              <w:right w:val="single" w:color="auto" w:sz="4" w:space="0"/>
            </w:tcBorders>
            <w:shd w:val="clear" w:color="FFFFFF" w:fill="FFFFFF"/>
            <w:vAlign w:val="center"/>
          </w:tcPr>
          <w:p w14:paraId="32F8DC78">
            <w:pPr>
              <w:ind w:left="110" w:hanging="110"/>
              <w:jc w:val="center"/>
              <w:rPr>
                <w:rFonts w:ascii="宋体" w:hAnsi="宋体" w:cs="宋体"/>
                <w:sz w:val="22"/>
                <w:szCs w:val="22"/>
              </w:rPr>
            </w:pPr>
            <w:r>
              <w:rPr>
                <w:rFonts w:hint="eastAsia"/>
                <w:sz w:val="22"/>
                <w:szCs w:val="22"/>
              </w:rPr>
              <w:t>m³</w:t>
            </w:r>
          </w:p>
        </w:tc>
        <w:tc>
          <w:tcPr>
            <w:tcW w:w="1065" w:type="dxa"/>
            <w:tcBorders>
              <w:top w:val="nil"/>
              <w:left w:val="nil"/>
              <w:bottom w:val="single" w:color="auto" w:sz="4" w:space="0"/>
              <w:right w:val="single" w:color="auto" w:sz="4" w:space="0"/>
            </w:tcBorders>
            <w:shd w:val="clear" w:color="FFFFFF" w:fill="FFFFFF"/>
            <w:vAlign w:val="center"/>
          </w:tcPr>
          <w:p w14:paraId="48DCCB12">
            <w:pPr>
              <w:ind w:left="110" w:hanging="110"/>
              <w:jc w:val="center"/>
              <w:rPr>
                <w:rFonts w:ascii="宋体" w:hAnsi="宋体" w:cs="宋体"/>
                <w:sz w:val="22"/>
                <w:szCs w:val="22"/>
              </w:rPr>
            </w:pPr>
            <w:r>
              <w:rPr>
                <w:rFonts w:hint="eastAsia"/>
                <w:sz w:val="22"/>
                <w:szCs w:val="22"/>
              </w:rPr>
              <w:t>406.6415</w:t>
            </w:r>
          </w:p>
        </w:tc>
        <w:tc>
          <w:tcPr>
            <w:tcW w:w="1380" w:type="dxa"/>
            <w:tcBorders>
              <w:top w:val="nil"/>
              <w:left w:val="nil"/>
              <w:bottom w:val="single" w:color="auto" w:sz="4" w:space="0"/>
              <w:right w:val="single" w:color="auto" w:sz="4" w:space="0"/>
            </w:tcBorders>
            <w:shd w:val="clear" w:color="auto" w:fill="auto"/>
            <w:noWrap/>
            <w:vAlign w:val="center"/>
          </w:tcPr>
          <w:p w14:paraId="1242B355">
            <w:pPr>
              <w:ind w:left="0" w:right="0" w:firstLine="0" w:firstLineChars="0"/>
              <w:jc w:val="center"/>
              <w:rPr>
                <w:rFonts w:ascii="宋体" w:hAnsi="宋体" w:cs="宋体"/>
                <w:color w:val="000000"/>
                <w:sz w:val="22"/>
                <w:szCs w:val="22"/>
              </w:rPr>
            </w:pPr>
          </w:p>
        </w:tc>
      </w:tr>
      <w:tr w14:paraId="7D4A8507">
        <w:tblPrEx>
          <w:tblCellMar>
            <w:top w:w="0" w:type="dxa"/>
            <w:left w:w="108" w:type="dxa"/>
            <w:bottom w:w="0" w:type="dxa"/>
            <w:right w:w="108" w:type="dxa"/>
          </w:tblCellMar>
        </w:tblPrEx>
        <w:trPr>
          <w:trHeight w:val="1080" w:hRule="atLeast"/>
          <w:jc w:val="center"/>
        </w:trPr>
        <w:tc>
          <w:tcPr>
            <w:tcW w:w="970" w:type="dxa"/>
            <w:tcBorders>
              <w:top w:val="nil"/>
              <w:left w:val="single" w:color="auto" w:sz="4" w:space="0"/>
              <w:bottom w:val="single" w:color="auto" w:sz="4" w:space="0"/>
              <w:right w:val="single" w:color="auto" w:sz="4" w:space="0"/>
            </w:tcBorders>
            <w:shd w:val="clear" w:color="auto" w:fill="auto"/>
            <w:noWrap/>
            <w:vAlign w:val="center"/>
          </w:tcPr>
          <w:p w14:paraId="256B552D">
            <w:pPr>
              <w:ind w:left="110" w:hanging="110"/>
              <w:jc w:val="center"/>
              <w:rPr>
                <w:rFonts w:ascii="宋体" w:hAnsi="宋体" w:cs="宋体"/>
                <w:color w:val="000000"/>
                <w:sz w:val="22"/>
                <w:szCs w:val="22"/>
              </w:rPr>
            </w:pPr>
            <w:r>
              <w:rPr>
                <w:rFonts w:hint="eastAsia"/>
                <w:color w:val="000000"/>
                <w:sz w:val="22"/>
                <w:szCs w:val="22"/>
              </w:rPr>
              <w:t>5</w:t>
            </w:r>
          </w:p>
        </w:tc>
        <w:tc>
          <w:tcPr>
            <w:tcW w:w="1635" w:type="dxa"/>
            <w:tcBorders>
              <w:top w:val="nil"/>
              <w:left w:val="nil"/>
              <w:bottom w:val="single" w:color="auto" w:sz="4" w:space="0"/>
              <w:right w:val="single" w:color="auto" w:sz="4" w:space="0"/>
            </w:tcBorders>
            <w:shd w:val="clear" w:color="FFFFFF" w:fill="FFFFFF"/>
            <w:vAlign w:val="center"/>
          </w:tcPr>
          <w:p w14:paraId="2D222D12">
            <w:pPr>
              <w:ind w:left="110" w:hanging="110"/>
              <w:jc w:val="center"/>
              <w:rPr>
                <w:rFonts w:ascii="宋体" w:hAnsi="宋体" w:cs="宋体"/>
                <w:sz w:val="22"/>
                <w:szCs w:val="22"/>
              </w:rPr>
            </w:pPr>
            <w:r>
              <w:rPr>
                <w:rFonts w:hint="eastAsia"/>
                <w:sz w:val="22"/>
                <w:szCs w:val="22"/>
              </w:rPr>
              <w:t>余方弃置</w:t>
            </w:r>
          </w:p>
        </w:tc>
        <w:tc>
          <w:tcPr>
            <w:tcW w:w="3810" w:type="dxa"/>
            <w:tcBorders>
              <w:top w:val="nil"/>
              <w:left w:val="nil"/>
              <w:bottom w:val="single" w:color="auto" w:sz="4" w:space="0"/>
              <w:right w:val="nil"/>
            </w:tcBorders>
            <w:shd w:val="clear" w:color="FFFFFF" w:fill="FFFFFF"/>
            <w:vAlign w:val="center"/>
          </w:tcPr>
          <w:p w14:paraId="3656BB70">
            <w:pPr>
              <w:ind w:left="110" w:hanging="110"/>
              <w:rPr>
                <w:sz w:val="22"/>
                <w:szCs w:val="22"/>
              </w:rPr>
            </w:pPr>
            <w:r>
              <w:rPr>
                <w:rFonts w:hint="eastAsia"/>
                <w:sz w:val="22"/>
                <w:szCs w:val="22"/>
              </w:rPr>
              <w:t>1.废弃料品种：破碎混凝土</w:t>
            </w:r>
          </w:p>
          <w:p w14:paraId="5DF0C07D">
            <w:pPr>
              <w:ind w:left="110" w:hanging="110"/>
              <w:rPr>
                <w:sz w:val="22"/>
                <w:szCs w:val="22"/>
              </w:rPr>
            </w:pPr>
            <w:r>
              <w:rPr>
                <w:rFonts w:hint="eastAsia"/>
                <w:sz w:val="22"/>
                <w:szCs w:val="22"/>
              </w:rPr>
              <w:t>2.运距：5km</w:t>
            </w:r>
          </w:p>
          <w:p w14:paraId="1FC784B9">
            <w:pPr>
              <w:ind w:left="110" w:hanging="110"/>
              <w:rPr>
                <w:rFonts w:ascii="宋体" w:hAnsi="宋体" w:cs="宋体"/>
                <w:sz w:val="22"/>
                <w:szCs w:val="22"/>
              </w:rPr>
            </w:pPr>
            <w:r>
              <w:rPr>
                <w:rFonts w:hint="eastAsia"/>
                <w:sz w:val="22"/>
                <w:szCs w:val="22"/>
              </w:rPr>
              <w:t>3.其他：符合图纸设计及其他相关要求</w:t>
            </w:r>
          </w:p>
        </w:tc>
        <w:tc>
          <w:tcPr>
            <w:tcW w:w="990" w:type="dxa"/>
            <w:tcBorders>
              <w:top w:val="nil"/>
              <w:left w:val="single" w:color="auto" w:sz="4" w:space="0"/>
              <w:bottom w:val="single" w:color="auto" w:sz="4" w:space="0"/>
              <w:right w:val="single" w:color="auto" w:sz="4" w:space="0"/>
            </w:tcBorders>
            <w:shd w:val="clear" w:color="FFFFFF" w:fill="FFFFFF"/>
            <w:vAlign w:val="center"/>
          </w:tcPr>
          <w:p w14:paraId="46A7A524">
            <w:pPr>
              <w:ind w:left="110" w:hanging="110"/>
              <w:jc w:val="center"/>
              <w:rPr>
                <w:rFonts w:ascii="宋体" w:hAnsi="宋体" w:cs="宋体"/>
                <w:sz w:val="22"/>
                <w:szCs w:val="22"/>
              </w:rPr>
            </w:pPr>
            <w:r>
              <w:rPr>
                <w:rFonts w:hint="eastAsia"/>
                <w:sz w:val="22"/>
                <w:szCs w:val="22"/>
              </w:rPr>
              <w:t>m³</w:t>
            </w:r>
          </w:p>
        </w:tc>
        <w:tc>
          <w:tcPr>
            <w:tcW w:w="1065" w:type="dxa"/>
            <w:tcBorders>
              <w:top w:val="nil"/>
              <w:left w:val="nil"/>
              <w:bottom w:val="single" w:color="auto" w:sz="4" w:space="0"/>
              <w:right w:val="single" w:color="auto" w:sz="4" w:space="0"/>
            </w:tcBorders>
            <w:shd w:val="clear" w:color="FFFFFF" w:fill="FFFFFF"/>
            <w:vAlign w:val="center"/>
          </w:tcPr>
          <w:p w14:paraId="7A735083">
            <w:pPr>
              <w:ind w:left="110" w:hanging="110"/>
              <w:jc w:val="center"/>
              <w:rPr>
                <w:rFonts w:ascii="宋体" w:hAnsi="宋体" w:cs="宋体"/>
                <w:sz w:val="22"/>
                <w:szCs w:val="22"/>
              </w:rPr>
            </w:pPr>
            <w:r>
              <w:rPr>
                <w:rFonts w:hint="eastAsia"/>
                <w:sz w:val="22"/>
                <w:szCs w:val="22"/>
              </w:rPr>
              <w:t>139.5702</w:t>
            </w:r>
          </w:p>
        </w:tc>
        <w:tc>
          <w:tcPr>
            <w:tcW w:w="1380" w:type="dxa"/>
            <w:tcBorders>
              <w:top w:val="nil"/>
              <w:left w:val="nil"/>
              <w:bottom w:val="single" w:color="auto" w:sz="4" w:space="0"/>
              <w:right w:val="single" w:color="auto" w:sz="4" w:space="0"/>
            </w:tcBorders>
            <w:shd w:val="clear" w:color="auto" w:fill="auto"/>
            <w:noWrap/>
            <w:vAlign w:val="center"/>
          </w:tcPr>
          <w:p w14:paraId="7FD36639">
            <w:pPr>
              <w:ind w:left="0" w:right="0" w:firstLine="0" w:firstLineChars="0"/>
              <w:jc w:val="center"/>
              <w:rPr>
                <w:rFonts w:ascii="宋体" w:hAnsi="宋体" w:cs="宋体"/>
                <w:color w:val="000000"/>
                <w:sz w:val="22"/>
                <w:szCs w:val="22"/>
              </w:rPr>
            </w:pPr>
          </w:p>
        </w:tc>
      </w:tr>
      <w:tr w14:paraId="076210BE">
        <w:tblPrEx>
          <w:tblCellMar>
            <w:top w:w="0" w:type="dxa"/>
            <w:left w:w="108" w:type="dxa"/>
            <w:bottom w:w="0" w:type="dxa"/>
            <w:right w:w="108" w:type="dxa"/>
          </w:tblCellMar>
        </w:tblPrEx>
        <w:trPr>
          <w:trHeight w:val="1080" w:hRule="atLeast"/>
          <w:jc w:val="center"/>
        </w:trPr>
        <w:tc>
          <w:tcPr>
            <w:tcW w:w="970" w:type="dxa"/>
            <w:tcBorders>
              <w:top w:val="nil"/>
              <w:left w:val="single" w:color="auto" w:sz="4" w:space="0"/>
              <w:bottom w:val="single" w:color="auto" w:sz="4" w:space="0"/>
              <w:right w:val="single" w:color="auto" w:sz="4" w:space="0"/>
            </w:tcBorders>
            <w:shd w:val="clear" w:color="auto" w:fill="auto"/>
            <w:noWrap/>
            <w:vAlign w:val="center"/>
          </w:tcPr>
          <w:p w14:paraId="4FC40A94">
            <w:pPr>
              <w:ind w:left="110" w:hanging="110"/>
              <w:jc w:val="center"/>
              <w:rPr>
                <w:rFonts w:ascii="宋体" w:hAnsi="宋体" w:cs="宋体"/>
                <w:color w:val="000000"/>
                <w:sz w:val="22"/>
                <w:szCs w:val="22"/>
              </w:rPr>
            </w:pPr>
            <w:r>
              <w:rPr>
                <w:rFonts w:hint="eastAsia"/>
                <w:color w:val="000000"/>
                <w:sz w:val="22"/>
                <w:szCs w:val="22"/>
              </w:rPr>
              <w:t>6</w:t>
            </w:r>
          </w:p>
        </w:tc>
        <w:tc>
          <w:tcPr>
            <w:tcW w:w="1635" w:type="dxa"/>
            <w:tcBorders>
              <w:top w:val="nil"/>
              <w:left w:val="nil"/>
              <w:bottom w:val="single" w:color="auto" w:sz="4" w:space="0"/>
              <w:right w:val="single" w:color="auto" w:sz="4" w:space="0"/>
            </w:tcBorders>
            <w:shd w:val="clear" w:color="FFFFFF" w:fill="FFFFFF"/>
            <w:vAlign w:val="center"/>
          </w:tcPr>
          <w:p w14:paraId="28ACCE4C">
            <w:pPr>
              <w:ind w:left="110" w:hanging="110"/>
              <w:jc w:val="center"/>
              <w:rPr>
                <w:rFonts w:ascii="宋体" w:hAnsi="宋体" w:cs="宋体"/>
                <w:sz w:val="22"/>
                <w:szCs w:val="22"/>
              </w:rPr>
            </w:pPr>
            <w:r>
              <w:rPr>
                <w:rFonts w:hint="eastAsia"/>
                <w:sz w:val="22"/>
                <w:szCs w:val="22"/>
              </w:rPr>
              <w:t>余方弃置</w:t>
            </w:r>
          </w:p>
        </w:tc>
        <w:tc>
          <w:tcPr>
            <w:tcW w:w="3810" w:type="dxa"/>
            <w:tcBorders>
              <w:top w:val="nil"/>
              <w:left w:val="nil"/>
              <w:bottom w:val="single" w:color="auto" w:sz="4" w:space="0"/>
              <w:right w:val="nil"/>
            </w:tcBorders>
            <w:shd w:val="clear" w:color="FFFFFF" w:fill="FFFFFF"/>
            <w:vAlign w:val="center"/>
          </w:tcPr>
          <w:p w14:paraId="728F9B27">
            <w:pPr>
              <w:ind w:left="110" w:hanging="110"/>
              <w:rPr>
                <w:sz w:val="22"/>
                <w:szCs w:val="22"/>
              </w:rPr>
            </w:pPr>
            <w:r>
              <w:rPr>
                <w:rFonts w:hint="eastAsia"/>
                <w:sz w:val="22"/>
                <w:szCs w:val="22"/>
              </w:rPr>
              <w:t>1.废弃料品种：土方</w:t>
            </w:r>
          </w:p>
          <w:p w14:paraId="35EC9221">
            <w:pPr>
              <w:ind w:left="110" w:hanging="110"/>
              <w:rPr>
                <w:sz w:val="22"/>
                <w:szCs w:val="22"/>
              </w:rPr>
            </w:pPr>
            <w:r>
              <w:rPr>
                <w:rFonts w:hint="eastAsia"/>
                <w:sz w:val="22"/>
                <w:szCs w:val="22"/>
              </w:rPr>
              <w:t>2.运距：5km</w:t>
            </w:r>
          </w:p>
          <w:p w14:paraId="2A3B09B8">
            <w:pPr>
              <w:ind w:left="110" w:hanging="110"/>
              <w:rPr>
                <w:rFonts w:ascii="宋体" w:hAnsi="宋体" w:cs="宋体"/>
                <w:sz w:val="22"/>
                <w:szCs w:val="22"/>
              </w:rPr>
            </w:pPr>
            <w:r>
              <w:rPr>
                <w:rFonts w:hint="eastAsia"/>
                <w:sz w:val="22"/>
                <w:szCs w:val="22"/>
              </w:rPr>
              <w:t>3.其他：符合图纸设计及其他相关要求</w:t>
            </w:r>
          </w:p>
        </w:tc>
        <w:tc>
          <w:tcPr>
            <w:tcW w:w="990" w:type="dxa"/>
            <w:tcBorders>
              <w:top w:val="nil"/>
              <w:left w:val="single" w:color="auto" w:sz="4" w:space="0"/>
              <w:bottom w:val="single" w:color="auto" w:sz="4" w:space="0"/>
              <w:right w:val="single" w:color="auto" w:sz="4" w:space="0"/>
            </w:tcBorders>
            <w:shd w:val="clear" w:color="FFFFFF" w:fill="FFFFFF"/>
            <w:vAlign w:val="center"/>
          </w:tcPr>
          <w:p w14:paraId="6EA9C339">
            <w:pPr>
              <w:ind w:left="110" w:hanging="110"/>
              <w:jc w:val="center"/>
              <w:rPr>
                <w:rFonts w:ascii="宋体" w:hAnsi="宋体" w:cs="宋体"/>
                <w:sz w:val="22"/>
                <w:szCs w:val="22"/>
              </w:rPr>
            </w:pPr>
            <w:r>
              <w:rPr>
                <w:rFonts w:hint="eastAsia"/>
                <w:sz w:val="22"/>
                <w:szCs w:val="22"/>
              </w:rPr>
              <w:t>m³</w:t>
            </w:r>
          </w:p>
        </w:tc>
        <w:tc>
          <w:tcPr>
            <w:tcW w:w="1065" w:type="dxa"/>
            <w:tcBorders>
              <w:top w:val="nil"/>
              <w:left w:val="nil"/>
              <w:bottom w:val="single" w:color="auto" w:sz="4" w:space="0"/>
              <w:right w:val="single" w:color="auto" w:sz="4" w:space="0"/>
            </w:tcBorders>
            <w:shd w:val="clear" w:color="FFFFFF" w:fill="FFFFFF"/>
            <w:vAlign w:val="center"/>
          </w:tcPr>
          <w:p w14:paraId="6A53E1FB">
            <w:pPr>
              <w:ind w:left="110" w:hanging="110"/>
              <w:jc w:val="center"/>
              <w:rPr>
                <w:rFonts w:ascii="宋体" w:hAnsi="宋体" w:cs="宋体"/>
                <w:sz w:val="22"/>
                <w:szCs w:val="22"/>
              </w:rPr>
            </w:pPr>
            <w:r>
              <w:rPr>
                <w:rFonts w:hint="eastAsia"/>
                <w:sz w:val="22"/>
                <w:szCs w:val="22"/>
              </w:rPr>
              <w:t>497.762</w:t>
            </w:r>
          </w:p>
        </w:tc>
        <w:tc>
          <w:tcPr>
            <w:tcW w:w="1380" w:type="dxa"/>
            <w:tcBorders>
              <w:top w:val="nil"/>
              <w:left w:val="nil"/>
              <w:bottom w:val="single" w:color="auto" w:sz="4" w:space="0"/>
              <w:right w:val="single" w:color="auto" w:sz="4" w:space="0"/>
            </w:tcBorders>
            <w:shd w:val="clear" w:color="auto" w:fill="auto"/>
            <w:noWrap/>
            <w:vAlign w:val="center"/>
          </w:tcPr>
          <w:p w14:paraId="2B32D3F2">
            <w:pPr>
              <w:ind w:left="0" w:right="0" w:firstLine="0" w:firstLineChars="0"/>
              <w:jc w:val="center"/>
              <w:rPr>
                <w:rFonts w:ascii="宋体" w:hAnsi="宋体" w:cs="宋体"/>
                <w:color w:val="000000"/>
                <w:sz w:val="22"/>
                <w:szCs w:val="22"/>
              </w:rPr>
            </w:pPr>
          </w:p>
        </w:tc>
      </w:tr>
      <w:tr w14:paraId="4C614544">
        <w:tblPrEx>
          <w:tblCellMar>
            <w:top w:w="0" w:type="dxa"/>
            <w:left w:w="108" w:type="dxa"/>
            <w:bottom w:w="0" w:type="dxa"/>
            <w:right w:w="108" w:type="dxa"/>
          </w:tblCellMar>
        </w:tblPrEx>
        <w:trPr>
          <w:trHeight w:val="1080" w:hRule="atLeast"/>
          <w:jc w:val="center"/>
        </w:trPr>
        <w:tc>
          <w:tcPr>
            <w:tcW w:w="970" w:type="dxa"/>
            <w:tcBorders>
              <w:top w:val="nil"/>
              <w:left w:val="single" w:color="auto" w:sz="4" w:space="0"/>
              <w:bottom w:val="single" w:color="auto" w:sz="4" w:space="0"/>
              <w:right w:val="single" w:color="auto" w:sz="4" w:space="0"/>
            </w:tcBorders>
            <w:shd w:val="clear" w:color="auto" w:fill="auto"/>
            <w:noWrap/>
            <w:vAlign w:val="center"/>
          </w:tcPr>
          <w:p w14:paraId="385CF0E3">
            <w:pPr>
              <w:ind w:left="110" w:hanging="110"/>
              <w:jc w:val="center"/>
              <w:rPr>
                <w:rFonts w:ascii="宋体" w:hAnsi="宋体" w:cs="宋体"/>
                <w:color w:val="000000"/>
                <w:sz w:val="22"/>
                <w:szCs w:val="22"/>
              </w:rPr>
            </w:pPr>
            <w:r>
              <w:rPr>
                <w:rFonts w:hint="eastAsia"/>
                <w:color w:val="000000"/>
                <w:sz w:val="22"/>
                <w:szCs w:val="22"/>
              </w:rPr>
              <w:t>7</w:t>
            </w:r>
          </w:p>
        </w:tc>
        <w:tc>
          <w:tcPr>
            <w:tcW w:w="1635" w:type="dxa"/>
            <w:tcBorders>
              <w:top w:val="nil"/>
              <w:left w:val="nil"/>
              <w:bottom w:val="single" w:color="auto" w:sz="4" w:space="0"/>
              <w:right w:val="single" w:color="auto" w:sz="4" w:space="0"/>
            </w:tcBorders>
            <w:shd w:val="clear" w:color="FFFFFF" w:fill="FFFFFF"/>
            <w:vAlign w:val="center"/>
          </w:tcPr>
          <w:p w14:paraId="7954757E">
            <w:pPr>
              <w:ind w:left="110" w:hanging="110"/>
              <w:jc w:val="center"/>
              <w:rPr>
                <w:rFonts w:ascii="宋体" w:hAnsi="宋体" w:cs="宋体"/>
                <w:sz w:val="22"/>
                <w:szCs w:val="22"/>
              </w:rPr>
            </w:pPr>
            <w:r>
              <w:rPr>
                <w:rFonts w:hint="eastAsia"/>
                <w:sz w:val="22"/>
                <w:szCs w:val="22"/>
              </w:rPr>
              <w:t>塑料管</w:t>
            </w:r>
          </w:p>
        </w:tc>
        <w:tc>
          <w:tcPr>
            <w:tcW w:w="3810" w:type="dxa"/>
            <w:tcBorders>
              <w:top w:val="nil"/>
              <w:left w:val="nil"/>
              <w:bottom w:val="single" w:color="auto" w:sz="4" w:space="0"/>
              <w:right w:val="nil"/>
            </w:tcBorders>
            <w:shd w:val="clear" w:color="FFFFFF" w:fill="FFFFFF"/>
            <w:vAlign w:val="center"/>
          </w:tcPr>
          <w:p w14:paraId="78006306">
            <w:pPr>
              <w:ind w:left="110" w:hanging="110"/>
              <w:rPr>
                <w:sz w:val="22"/>
                <w:szCs w:val="22"/>
              </w:rPr>
            </w:pPr>
            <w:r>
              <w:rPr>
                <w:rFonts w:hint="eastAsia"/>
                <w:sz w:val="22"/>
                <w:szCs w:val="22"/>
              </w:rPr>
              <w:t xml:space="preserve">1.材料：UPVC双壁波纹管，DN400 8KN/m </w:t>
            </w:r>
          </w:p>
          <w:p w14:paraId="17AB79B2">
            <w:pPr>
              <w:ind w:left="110" w:hanging="110"/>
              <w:rPr>
                <w:rFonts w:ascii="宋体" w:hAnsi="宋体" w:cs="宋体"/>
                <w:sz w:val="22"/>
                <w:szCs w:val="22"/>
              </w:rPr>
            </w:pPr>
            <w:r>
              <w:rPr>
                <w:rFonts w:hint="eastAsia"/>
                <w:sz w:val="22"/>
                <w:szCs w:val="22"/>
              </w:rPr>
              <w:t>2.其他：符合图纸设计及其他相关要求</w:t>
            </w:r>
          </w:p>
        </w:tc>
        <w:tc>
          <w:tcPr>
            <w:tcW w:w="990" w:type="dxa"/>
            <w:tcBorders>
              <w:top w:val="nil"/>
              <w:left w:val="single" w:color="auto" w:sz="4" w:space="0"/>
              <w:bottom w:val="single" w:color="auto" w:sz="4" w:space="0"/>
              <w:right w:val="single" w:color="auto" w:sz="4" w:space="0"/>
            </w:tcBorders>
            <w:shd w:val="clear" w:color="FFFFFF" w:fill="FFFFFF"/>
            <w:vAlign w:val="center"/>
          </w:tcPr>
          <w:p w14:paraId="0E91510D">
            <w:pPr>
              <w:ind w:left="110" w:hanging="110"/>
              <w:jc w:val="center"/>
              <w:rPr>
                <w:rFonts w:ascii="宋体" w:hAnsi="宋体" w:cs="宋体"/>
                <w:sz w:val="22"/>
                <w:szCs w:val="22"/>
              </w:rPr>
            </w:pPr>
            <w:r>
              <w:rPr>
                <w:rFonts w:hint="eastAsia"/>
                <w:sz w:val="22"/>
                <w:szCs w:val="22"/>
              </w:rPr>
              <w:t>m</w:t>
            </w:r>
          </w:p>
        </w:tc>
        <w:tc>
          <w:tcPr>
            <w:tcW w:w="1065" w:type="dxa"/>
            <w:tcBorders>
              <w:top w:val="nil"/>
              <w:left w:val="nil"/>
              <w:bottom w:val="single" w:color="auto" w:sz="4" w:space="0"/>
              <w:right w:val="single" w:color="auto" w:sz="4" w:space="0"/>
            </w:tcBorders>
            <w:shd w:val="clear" w:color="FFFFFF" w:fill="FFFFFF"/>
            <w:vAlign w:val="center"/>
          </w:tcPr>
          <w:p w14:paraId="0966FAC0">
            <w:pPr>
              <w:ind w:left="110" w:hanging="110"/>
              <w:jc w:val="center"/>
              <w:rPr>
                <w:rFonts w:ascii="宋体" w:hAnsi="宋体" w:cs="宋体"/>
                <w:sz w:val="22"/>
                <w:szCs w:val="22"/>
              </w:rPr>
            </w:pPr>
            <w:r>
              <w:rPr>
                <w:rFonts w:hint="eastAsia"/>
                <w:sz w:val="22"/>
                <w:szCs w:val="22"/>
              </w:rPr>
              <w:t>45</w:t>
            </w:r>
          </w:p>
        </w:tc>
        <w:tc>
          <w:tcPr>
            <w:tcW w:w="1380" w:type="dxa"/>
            <w:tcBorders>
              <w:top w:val="nil"/>
              <w:left w:val="nil"/>
              <w:bottom w:val="single" w:color="auto" w:sz="4" w:space="0"/>
              <w:right w:val="single" w:color="auto" w:sz="4" w:space="0"/>
            </w:tcBorders>
            <w:shd w:val="clear" w:color="auto" w:fill="auto"/>
            <w:noWrap/>
            <w:vAlign w:val="center"/>
          </w:tcPr>
          <w:p w14:paraId="77CFEF49">
            <w:pPr>
              <w:ind w:left="0" w:right="0" w:firstLine="0" w:firstLineChars="0"/>
              <w:jc w:val="center"/>
              <w:rPr>
                <w:rFonts w:ascii="宋体" w:hAnsi="宋体" w:cs="宋体"/>
                <w:color w:val="000000"/>
                <w:sz w:val="22"/>
                <w:szCs w:val="22"/>
              </w:rPr>
            </w:pPr>
          </w:p>
        </w:tc>
      </w:tr>
      <w:tr w14:paraId="200354BD">
        <w:tblPrEx>
          <w:tblCellMar>
            <w:top w:w="0" w:type="dxa"/>
            <w:left w:w="108" w:type="dxa"/>
            <w:bottom w:w="0" w:type="dxa"/>
            <w:right w:w="108" w:type="dxa"/>
          </w:tblCellMar>
        </w:tblPrEx>
        <w:trPr>
          <w:trHeight w:val="1080" w:hRule="atLeast"/>
          <w:jc w:val="center"/>
        </w:trPr>
        <w:tc>
          <w:tcPr>
            <w:tcW w:w="970" w:type="dxa"/>
            <w:tcBorders>
              <w:top w:val="nil"/>
              <w:left w:val="single" w:color="auto" w:sz="4" w:space="0"/>
              <w:bottom w:val="single" w:color="auto" w:sz="4" w:space="0"/>
              <w:right w:val="single" w:color="auto" w:sz="4" w:space="0"/>
            </w:tcBorders>
            <w:shd w:val="clear" w:color="auto" w:fill="auto"/>
            <w:noWrap/>
            <w:vAlign w:val="center"/>
          </w:tcPr>
          <w:p w14:paraId="030B600A">
            <w:pPr>
              <w:ind w:left="110" w:hanging="110"/>
              <w:jc w:val="center"/>
              <w:rPr>
                <w:rFonts w:ascii="宋体" w:hAnsi="宋体" w:cs="宋体"/>
                <w:color w:val="000000"/>
                <w:sz w:val="22"/>
                <w:szCs w:val="22"/>
              </w:rPr>
            </w:pPr>
            <w:r>
              <w:rPr>
                <w:rFonts w:hint="eastAsia"/>
                <w:color w:val="000000"/>
                <w:sz w:val="22"/>
                <w:szCs w:val="22"/>
              </w:rPr>
              <w:t>8</w:t>
            </w:r>
          </w:p>
        </w:tc>
        <w:tc>
          <w:tcPr>
            <w:tcW w:w="1635" w:type="dxa"/>
            <w:tcBorders>
              <w:top w:val="nil"/>
              <w:left w:val="nil"/>
              <w:bottom w:val="single" w:color="auto" w:sz="4" w:space="0"/>
              <w:right w:val="single" w:color="auto" w:sz="4" w:space="0"/>
            </w:tcBorders>
            <w:shd w:val="clear" w:color="FFFFFF" w:fill="FFFFFF"/>
            <w:vAlign w:val="center"/>
          </w:tcPr>
          <w:p w14:paraId="0DE7F533">
            <w:pPr>
              <w:ind w:left="110" w:hanging="110"/>
              <w:jc w:val="center"/>
              <w:rPr>
                <w:rFonts w:ascii="宋体" w:hAnsi="宋体" w:cs="宋体"/>
                <w:sz w:val="22"/>
                <w:szCs w:val="22"/>
              </w:rPr>
            </w:pPr>
            <w:r>
              <w:rPr>
                <w:rFonts w:hint="eastAsia"/>
                <w:sz w:val="22"/>
                <w:szCs w:val="22"/>
              </w:rPr>
              <w:t>塑料管</w:t>
            </w:r>
          </w:p>
        </w:tc>
        <w:tc>
          <w:tcPr>
            <w:tcW w:w="3810" w:type="dxa"/>
            <w:tcBorders>
              <w:top w:val="nil"/>
              <w:left w:val="nil"/>
              <w:bottom w:val="single" w:color="auto" w:sz="4" w:space="0"/>
              <w:right w:val="nil"/>
            </w:tcBorders>
            <w:shd w:val="clear" w:color="FFFFFF" w:fill="FFFFFF"/>
            <w:vAlign w:val="center"/>
          </w:tcPr>
          <w:p w14:paraId="179DF620">
            <w:pPr>
              <w:ind w:left="110" w:hanging="110"/>
              <w:rPr>
                <w:sz w:val="22"/>
                <w:szCs w:val="22"/>
              </w:rPr>
            </w:pPr>
            <w:r>
              <w:rPr>
                <w:rFonts w:hint="eastAsia"/>
                <w:sz w:val="22"/>
                <w:szCs w:val="22"/>
              </w:rPr>
              <w:t xml:space="preserve">1.材料：UPVC双壁波纹管,DN300 8KN/m </w:t>
            </w:r>
          </w:p>
          <w:p w14:paraId="1C0FF35B">
            <w:pPr>
              <w:ind w:left="110" w:hanging="110"/>
              <w:rPr>
                <w:rFonts w:ascii="宋体" w:hAnsi="宋体" w:cs="宋体"/>
                <w:sz w:val="22"/>
                <w:szCs w:val="22"/>
              </w:rPr>
            </w:pPr>
            <w:r>
              <w:rPr>
                <w:rFonts w:hint="eastAsia"/>
                <w:sz w:val="22"/>
                <w:szCs w:val="22"/>
              </w:rPr>
              <w:t>2.其他：符合图纸设计及其他相关要求</w:t>
            </w:r>
          </w:p>
        </w:tc>
        <w:tc>
          <w:tcPr>
            <w:tcW w:w="990" w:type="dxa"/>
            <w:tcBorders>
              <w:top w:val="nil"/>
              <w:left w:val="single" w:color="auto" w:sz="4" w:space="0"/>
              <w:bottom w:val="single" w:color="auto" w:sz="4" w:space="0"/>
              <w:right w:val="single" w:color="auto" w:sz="4" w:space="0"/>
            </w:tcBorders>
            <w:shd w:val="clear" w:color="FFFFFF" w:fill="FFFFFF"/>
            <w:vAlign w:val="center"/>
          </w:tcPr>
          <w:p w14:paraId="79D5F2F9">
            <w:pPr>
              <w:ind w:left="110" w:hanging="110"/>
              <w:jc w:val="center"/>
              <w:rPr>
                <w:rFonts w:ascii="宋体" w:hAnsi="宋体" w:cs="宋体"/>
                <w:sz w:val="22"/>
                <w:szCs w:val="22"/>
              </w:rPr>
            </w:pPr>
            <w:r>
              <w:rPr>
                <w:rFonts w:hint="eastAsia"/>
                <w:sz w:val="22"/>
                <w:szCs w:val="22"/>
              </w:rPr>
              <w:t>m</w:t>
            </w:r>
          </w:p>
        </w:tc>
        <w:tc>
          <w:tcPr>
            <w:tcW w:w="1065" w:type="dxa"/>
            <w:tcBorders>
              <w:top w:val="nil"/>
              <w:left w:val="nil"/>
              <w:bottom w:val="single" w:color="auto" w:sz="4" w:space="0"/>
              <w:right w:val="single" w:color="auto" w:sz="4" w:space="0"/>
            </w:tcBorders>
            <w:shd w:val="clear" w:color="FFFFFF" w:fill="FFFFFF"/>
            <w:vAlign w:val="center"/>
          </w:tcPr>
          <w:p w14:paraId="1848FF55">
            <w:pPr>
              <w:ind w:left="110" w:hanging="110"/>
              <w:jc w:val="center"/>
              <w:rPr>
                <w:rFonts w:ascii="宋体" w:hAnsi="宋体" w:cs="宋体"/>
                <w:sz w:val="22"/>
                <w:szCs w:val="22"/>
              </w:rPr>
            </w:pPr>
            <w:r>
              <w:rPr>
                <w:rFonts w:hint="eastAsia"/>
                <w:sz w:val="22"/>
                <w:szCs w:val="22"/>
              </w:rPr>
              <w:t>250</w:t>
            </w:r>
          </w:p>
        </w:tc>
        <w:tc>
          <w:tcPr>
            <w:tcW w:w="1380" w:type="dxa"/>
            <w:tcBorders>
              <w:top w:val="nil"/>
              <w:left w:val="nil"/>
              <w:bottom w:val="single" w:color="auto" w:sz="4" w:space="0"/>
              <w:right w:val="single" w:color="auto" w:sz="4" w:space="0"/>
            </w:tcBorders>
            <w:shd w:val="clear" w:color="auto" w:fill="auto"/>
            <w:noWrap/>
            <w:vAlign w:val="center"/>
          </w:tcPr>
          <w:p w14:paraId="3DD0265A">
            <w:pPr>
              <w:ind w:left="0" w:right="0" w:firstLine="0" w:firstLineChars="0"/>
              <w:jc w:val="center"/>
              <w:rPr>
                <w:rFonts w:ascii="宋体" w:hAnsi="宋体" w:cs="宋体"/>
                <w:color w:val="000000"/>
                <w:sz w:val="22"/>
                <w:szCs w:val="22"/>
              </w:rPr>
            </w:pPr>
          </w:p>
        </w:tc>
      </w:tr>
      <w:tr w14:paraId="52CB82F9">
        <w:tblPrEx>
          <w:tblCellMar>
            <w:top w:w="0" w:type="dxa"/>
            <w:left w:w="108" w:type="dxa"/>
            <w:bottom w:w="0" w:type="dxa"/>
            <w:right w:w="108" w:type="dxa"/>
          </w:tblCellMar>
        </w:tblPrEx>
        <w:trPr>
          <w:trHeight w:val="2160" w:hRule="atLeast"/>
          <w:jc w:val="center"/>
        </w:trPr>
        <w:tc>
          <w:tcPr>
            <w:tcW w:w="970" w:type="dxa"/>
            <w:tcBorders>
              <w:top w:val="nil"/>
              <w:left w:val="single" w:color="auto" w:sz="4" w:space="0"/>
              <w:bottom w:val="single" w:color="auto" w:sz="4" w:space="0"/>
              <w:right w:val="single" w:color="auto" w:sz="4" w:space="0"/>
            </w:tcBorders>
            <w:shd w:val="clear" w:color="auto" w:fill="auto"/>
            <w:noWrap/>
            <w:vAlign w:val="center"/>
          </w:tcPr>
          <w:p w14:paraId="21D4A4E2">
            <w:pPr>
              <w:ind w:left="110" w:hanging="110"/>
              <w:jc w:val="center"/>
              <w:rPr>
                <w:rFonts w:ascii="宋体" w:hAnsi="宋体" w:cs="宋体"/>
                <w:color w:val="000000"/>
                <w:sz w:val="22"/>
                <w:szCs w:val="22"/>
              </w:rPr>
            </w:pPr>
            <w:r>
              <w:rPr>
                <w:rFonts w:hint="eastAsia"/>
                <w:color w:val="000000"/>
                <w:sz w:val="22"/>
                <w:szCs w:val="22"/>
              </w:rPr>
              <w:t>9</w:t>
            </w:r>
          </w:p>
        </w:tc>
        <w:tc>
          <w:tcPr>
            <w:tcW w:w="1635" w:type="dxa"/>
            <w:tcBorders>
              <w:top w:val="nil"/>
              <w:left w:val="nil"/>
              <w:bottom w:val="single" w:color="auto" w:sz="4" w:space="0"/>
              <w:right w:val="single" w:color="auto" w:sz="4" w:space="0"/>
            </w:tcBorders>
            <w:shd w:val="clear" w:color="FFFFFF" w:fill="FFFFFF"/>
            <w:vAlign w:val="center"/>
          </w:tcPr>
          <w:p w14:paraId="51ED4E7D">
            <w:pPr>
              <w:ind w:left="110" w:hanging="110"/>
              <w:jc w:val="center"/>
              <w:rPr>
                <w:rFonts w:ascii="宋体" w:hAnsi="宋体" w:cs="宋体"/>
                <w:sz w:val="22"/>
                <w:szCs w:val="22"/>
              </w:rPr>
            </w:pPr>
            <w:r>
              <w:rPr>
                <w:rFonts w:hint="eastAsia"/>
                <w:sz w:val="22"/>
                <w:szCs w:val="22"/>
              </w:rPr>
              <w:t>污水井</w:t>
            </w:r>
          </w:p>
        </w:tc>
        <w:tc>
          <w:tcPr>
            <w:tcW w:w="3810" w:type="dxa"/>
            <w:tcBorders>
              <w:top w:val="nil"/>
              <w:left w:val="nil"/>
              <w:bottom w:val="single" w:color="auto" w:sz="4" w:space="0"/>
              <w:right w:val="nil"/>
            </w:tcBorders>
            <w:shd w:val="clear" w:color="FFFFFF" w:fill="FFFFFF"/>
            <w:vAlign w:val="center"/>
          </w:tcPr>
          <w:p w14:paraId="3C2CE8DF">
            <w:pPr>
              <w:ind w:left="110" w:hanging="110"/>
              <w:rPr>
                <w:sz w:val="22"/>
                <w:szCs w:val="22"/>
              </w:rPr>
            </w:pPr>
            <w:r>
              <w:rPr>
                <w:rFonts w:hint="eastAsia"/>
                <w:sz w:val="22"/>
                <w:szCs w:val="22"/>
              </w:rPr>
              <w:t>1.垫层、基础材质及厚度：混凝土C15</w:t>
            </w:r>
          </w:p>
          <w:p w14:paraId="03502230">
            <w:pPr>
              <w:ind w:left="110" w:hanging="110"/>
              <w:rPr>
                <w:sz w:val="22"/>
                <w:szCs w:val="22"/>
              </w:rPr>
            </w:pPr>
            <w:r>
              <w:rPr>
                <w:rFonts w:hint="eastAsia"/>
                <w:sz w:val="22"/>
                <w:szCs w:val="22"/>
              </w:rPr>
              <w:t>2.砌筑材料品种、规格、强度等级：MU10</w:t>
            </w:r>
          </w:p>
          <w:p w14:paraId="61E61607">
            <w:pPr>
              <w:ind w:left="110" w:hanging="110"/>
              <w:rPr>
                <w:sz w:val="22"/>
                <w:szCs w:val="22"/>
              </w:rPr>
            </w:pPr>
            <w:r>
              <w:rPr>
                <w:rFonts w:hint="eastAsia"/>
                <w:sz w:val="22"/>
                <w:szCs w:val="22"/>
              </w:rPr>
              <w:t>3.勾缝、抹面要求：水泥砂浆1：2</w:t>
            </w:r>
          </w:p>
          <w:p w14:paraId="4EACA50C">
            <w:pPr>
              <w:ind w:left="110" w:hanging="110"/>
              <w:rPr>
                <w:sz w:val="22"/>
                <w:szCs w:val="22"/>
              </w:rPr>
            </w:pPr>
            <w:r>
              <w:rPr>
                <w:rFonts w:hint="eastAsia"/>
                <w:sz w:val="22"/>
                <w:szCs w:val="22"/>
              </w:rPr>
              <w:t>4.砂浆强度等级、配合比：M7.5</w:t>
            </w:r>
          </w:p>
          <w:p w14:paraId="45118596">
            <w:pPr>
              <w:ind w:left="110" w:hanging="110"/>
              <w:rPr>
                <w:sz w:val="22"/>
                <w:szCs w:val="22"/>
              </w:rPr>
            </w:pPr>
            <w:r>
              <w:rPr>
                <w:rFonts w:hint="eastAsia"/>
                <w:sz w:val="22"/>
                <w:szCs w:val="22"/>
              </w:rPr>
              <w:t>5.井盖、井圈材质及规格：铸铁井盖</w:t>
            </w:r>
          </w:p>
          <w:p w14:paraId="04AB79ED">
            <w:pPr>
              <w:ind w:left="110" w:hanging="110"/>
              <w:rPr>
                <w:rFonts w:ascii="宋体" w:hAnsi="宋体" w:cs="宋体"/>
                <w:sz w:val="22"/>
                <w:szCs w:val="22"/>
              </w:rPr>
            </w:pPr>
            <w:r>
              <w:rPr>
                <w:rFonts w:hint="eastAsia"/>
                <w:sz w:val="22"/>
                <w:szCs w:val="22"/>
              </w:rPr>
              <w:t>6.其他：符合图纸设计及其他相关要求</w:t>
            </w:r>
          </w:p>
        </w:tc>
        <w:tc>
          <w:tcPr>
            <w:tcW w:w="990" w:type="dxa"/>
            <w:tcBorders>
              <w:top w:val="nil"/>
              <w:left w:val="single" w:color="auto" w:sz="4" w:space="0"/>
              <w:bottom w:val="single" w:color="auto" w:sz="4" w:space="0"/>
              <w:right w:val="single" w:color="auto" w:sz="4" w:space="0"/>
            </w:tcBorders>
            <w:shd w:val="clear" w:color="FFFFFF" w:fill="FFFFFF"/>
            <w:vAlign w:val="center"/>
          </w:tcPr>
          <w:p w14:paraId="3DB344C3">
            <w:pPr>
              <w:ind w:left="110" w:hanging="110"/>
              <w:jc w:val="center"/>
              <w:rPr>
                <w:rFonts w:ascii="宋体" w:hAnsi="宋体" w:cs="宋体"/>
                <w:sz w:val="22"/>
                <w:szCs w:val="22"/>
              </w:rPr>
            </w:pPr>
            <w:r>
              <w:rPr>
                <w:rFonts w:hint="eastAsia"/>
                <w:sz w:val="22"/>
                <w:szCs w:val="22"/>
              </w:rPr>
              <w:t>座</w:t>
            </w:r>
          </w:p>
        </w:tc>
        <w:tc>
          <w:tcPr>
            <w:tcW w:w="1065" w:type="dxa"/>
            <w:tcBorders>
              <w:top w:val="nil"/>
              <w:left w:val="nil"/>
              <w:bottom w:val="single" w:color="auto" w:sz="4" w:space="0"/>
              <w:right w:val="single" w:color="auto" w:sz="4" w:space="0"/>
            </w:tcBorders>
            <w:shd w:val="clear" w:color="FFFFFF" w:fill="FFFFFF"/>
            <w:vAlign w:val="center"/>
          </w:tcPr>
          <w:p w14:paraId="4C8D3210">
            <w:pPr>
              <w:ind w:left="110" w:hanging="110"/>
              <w:jc w:val="center"/>
              <w:rPr>
                <w:rFonts w:ascii="宋体" w:hAnsi="宋体" w:cs="宋体"/>
                <w:sz w:val="22"/>
                <w:szCs w:val="22"/>
              </w:rPr>
            </w:pPr>
            <w:r>
              <w:rPr>
                <w:rFonts w:hint="eastAsia"/>
                <w:sz w:val="22"/>
                <w:szCs w:val="22"/>
              </w:rPr>
              <w:t>7</w:t>
            </w:r>
          </w:p>
        </w:tc>
        <w:tc>
          <w:tcPr>
            <w:tcW w:w="1380" w:type="dxa"/>
            <w:tcBorders>
              <w:top w:val="nil"/>
              <w:left w:val="nil"/>
              <w:bottom w:val="single" w:color="auto" w:sz="4" w:space="0"/>
              <w:right w:val="single" w:color="auto" w:sz="4" w:space="0"/>
            </w:tcBorders>
            <w:shd w:val="clear" w:color="auto" w:fill="auto"/>
            <w:noWrap/>
            <w:vAlign w:val="center"/>
          </w:tcPr>
          <w:p w14:paraId="5DE1DC31">
            <w:pPr>
              <w:ind w:left="0" w:right="0" w:firstLine="0" w:firstLineChars="0"/>
              <w:jc w:val="center"/>
              <w:rPr>
                <w:rFonts w:ascii="宋体" w:hAnsi="宋体" w:cs="宋体"/>
                <w:color w:val="000000"/>
                <w:sz w:val="22"/>
                <w:szCs w:val="22"/>
              </w:rPr>
            </w:pPr>
          </w:p>
        </w:tc>
      </w:tr>
      <w:tr w14:paraId="5940075B">
        <w:tblPrEx>
          <w:tblCellMar>
            <w:top w:w="0" w:type="dxa"/>
            <w:left w:w="108" w:type="dxa"/>
            <w:bottom w:w="0" w:type="dxa"/>
            <w:right w:w="108" w:type="dxa"/>
          </w:tblCellMar>
        </w:tblPrEx>
        <w:trPr>
          <w:trHeight w:val="1080" w:hRule="atLeast"/>
          <w:jc w:val="center"/>
        </w:trPr>
        <w:tc>
          <w:tcPr>
            <w:tcW w:w="970" w:type="dxa"/>
            <w:tcBorders>
              <w:top w:val="nil"/>
              <w:left w:val="single" w:color="auto" w:sz="4" w:space="0"/>
              <w:bottom w:val="single" w:color="auto" w:sz="4" w:space="0"/>
              <w:right w:val="single" w:color="auto" w:sz="4" w:space="0"/>
            </w:tcBorders>
            <w:shd w:val="clear" w:color="auto" w:fill="auto"/>
            <w:noWrap/>
            <w:vAlign w:val="center"/>
          </w:tcPr>
          <w:p w14:paraId="07EA7061">
            <w:pPr>
              <w:ind w:left="110" w:hanging="110"/>
              <w:jc w:val="center"/>
              <w:rPr>
                <w:rFonts w:ascii="宋体" w:hAnsi="宋体" w:cs="宋体"/>
                <w:color w:val="000000"/>
                <w:sz w:val="22"/>
                <w:szCs w:val="22"/>
              </w:rPr>
            </w:pPr>
            <w:r>
              <w:rPr>
                <w:rFonts w:hint="eastAsia"/>
                <w:color w:val="000000"/>
                <w:sz w:val="22"/>
                <w:szCs w:val="22"/>
              </w:rPr>
              <w:t>10</w:t>
            </w:r>
          </w:p>
        </w:tc>
        <w:tc>
          <w:tcPr>
            <w:tcW w:w="1635" w:type="dxa"/>
            <w:tcBorders>
              <w:top w:val="nil"/>
              <w:left w:val="nil"/>
              <w:bottom w:val="single" w:color="auto" w:sz="4" w:space="0"/>
              <w:right w:val="single" w:color="auto" w:sz="4" w:space="0"/>
            </w:tcBorders>
            <w:shd w:val="clear" w:color="FFFFFF" w:fill="FFFFFF"/>
            <w:vAlign w:val="center"/>
          </w:tcPr>
          <w:p w14:paraId="3A004420">
            <w:pPr>
              <w:ind w:left="110" w:hanging="110"/>
              <w:jc w:val="center"/>
              <w:rPr>
                <w:rFonts w:ascii="宋体" w:hAnsi="宋体" w:cs="宋体"/>
                <w:sz w:val="22"/>
                <w:szCs w:val="22"/>
              </w:rPr>
            </w:pPr>
            <w:r>
              <w:rPr>
                <w:rFonts w:hint="eastAsia"/>
                <w:sz w:val="22"/>
                <w:szCs w:val="22"/>
              </w:rPr>
              <w:t>水泥混凝土</w:t>
            </w:r>
          </w:p>
        </w:tc>
        <w:tc>
          <w:tcPr>
            <w:tcW w:w="3810" w:type="dxa"/>
            <w:tcBorders>
              <w:top w:val="nil"/>
              <w:left w:val="nil"/>
              <w:bottom w:val="single" w:color="auto" w:sz="4" w:space="0"/>
              <w:right w:val="nil"/>
            </w:tcBorders>
            <w:shd w:val="clear" w:color="FFFFFF" w:fill="FFFFFF"/>
            <w:vAlign w:val="center"/>
          </w:tcPr>
          <w:p w14:paraId="4EB34DA3">
            <w:pPr>
              <w:ind w:left="110" w:hanging="110"/>
              <w:rPr>
                <w:sz w:val="22"/>
                <w:szCs w:val="22"/>
              </w:rPr>
            </w:pPr>
            <w:r>
              <w:rPr>
                <w:rFonts w:hint="eastAsia"/>
                <w:sz w:val="22"/>
                <w:szCs w:val="22"/>
              </w:rPr>
              <w:t>1.混凝土强度等级：C30</w:t>
            </w:r>
          </w:p>
          <w:p w14:paraId="21192A0E">
            <w:pPr>
              <w:ind w:left="110" w:hanging="110"/>
              <w:rPr>
                <w:sz w:val="22"/>
                <w:szCs w:val="22"/>
              </w:rPr>
            </w:pPr>
            <w:r>
              <w:rPr>
                <w:rFonts w:hint="eastAsia"/>
                <w:sz w:val="22"/>
                <w:szCs w:val="22"/>
              </w:rPr>
              <w:t>2.厚度：18CM</w:t>
            </w:r>
          </w:p>
          <w:p w14:paraId="600F5E55">
            <w:pPr>
              <w:ind w:left="110" w:hanging="110"/>
              <w:rPr>
                <w:rFonts w:ascii="宋体" w:hAnsi="宋体" w:cs="宋体"/>
                <w:sz w:val="22"/>
                <w:szCs w:val="22"/>
              </w:rPr>
            </w:pPr>
            <w:r>
              <w:rPr>
                <w:rFonts w:hint="eastAsia"/>
                <w:sz w:val="22"/>
                <w:szCs w:val="22"/>
              </w:rPr>
              <w:t>3.其他：符合图纸设计及其他相关要求</w:t>
            </w:r>
          </w:p>
        </w:tc>
        <w:tc>
          <w:tcPr>
            <w:tcW w:w="990" w:type="dxa"/>
            <w:tcBorders>
              <w:top w:val="nil"/>
              <w:left w:val="single" w:color="auto" w:sz="4" w:space="0"/>
              <w:bottom w:val="single" w:color="auto" w:sz="4" w:space="0"/>
              <w:right w:val="single" w:color="auto" w:sz="4" w:space="0"/>
            </w:tcBorders>
            <w:shd w:val="clear" w:color="FFFFFF" w:fill="FFFFFF"/>
            <w:vAlign w:val="center"/>
          </w:tcPr>
          <w:p w14:paraId="5B101D14">
            <w:pPr>
              <w:ind w:left="110" w:hanging="110"/>
              <w:jc w:val="center"/>
              <w:rPr>
                <w:rFonts w:ascii="宋体" w:hAnsi="宋体" w:cs="宋体"/>
                <w:sz w:val="22"/>
                <w:szCs w:val="22"/>
              </w:rPr>
            </w:pPr>
            <w:r>
              <w:rPr>
                <w:rFonts w:hint="eastAsia"/>
                <w:sz w:val="22"/>
                <w:szCs w:val="22"/>
              </w:rPr>
              <w:t>㎡</w:t>
            </w:r>
          </w:p>
        </w:tc>
        <w:tc>
          <w:tcPr>
            <w:tcW w:w="1065" w:type="dxa"/>
            <w:tcBorders>
              <w:top w:val="nil"/>
              <w:left w:val="nil"/>
              <w:bottom w:val="single" w:color="auto" w:sz="4" w:space="0"/>
              <w:right w:val="single" w:color="auto" w:sz="4" w:space="0"/>
            </w:tcBorders>
            <w:shd w:val="clear" w:color="FFFFFF" w:fill="FFFFFF"/>
            <w:vAlign w:val="center"/>
          </w:tcPr>
          <w:p w14:paraId="77217B1F">
            <w:pPr>
              <w:ind w:left="110" w:hanging="110"/>
              <w:jc w:val="center"/>
              <w:rPr>
                <w:rFonts w:ascii="宋体" w:hAnsi="宋体" w:cs="宋体"/>
                <w:sz w:val="22"/>
                <w:szCs w:val="22"/>
              </w:rPr>
            </w:pPr>
            <w:r>
              <w:rPr>
                <w:rFonts w:hint="eastAsia"/>
                <w:sz w:val="22"/>
                <w:szCs w:val="22"/>
              </w:rPr>
              <w:t>775.39</w:t>
            </w:r>
          </w:p>
        </w:tc>
        <w:tc>
          <w:tcPr>
            <w:tcW w:w="1380" w:type="dxa"/>
            <w:tcBorders>
              <w:top w:val="nil"/>
              <w:left w:val="nil"/>
              <w:bottom w:val="single" w:color="auto" w:sz="4" w:space="0"/>
              <w:right w:val="single" w:color="auto" w:sz="4" w:space="0"/>
            </w:tcBorders>
            <w:shd w:val="clear" w:color="auto" w:fill="auto"/>
            <w:noWrap/>
            <w:vAlign w:val="center"/>
          </w:tcPr>
          <w:p w14:paraId="79AD6607">
            <w:pPr>
              <w:ind w:left="0" w:right="0" w:firstLine="0" w:firstLineChars="0"/>
              <w:jc w:val="center"/>
              <w:rPr>
                <w:rFonts w:ascii="宋体" w:hAnsi="宋体" w:cs="宋体"/>
                <w:color w:val="000000"/>
                <w:sz w:val="22"/>
                <w:szCs w:val="22"/>
              </w:rPr>
            </w:pPr>
          </w:p>
        </w:tc>
      </w:tr>
      <w:tr w14:paraId="1D69D058">
        <w:tblPrEx>
          <w:tblCellMar>
            <w:top w:w="0" w:type="dxa"/>
            <w:left w:w="108" w:type="dxa"/>
            <w:bottom w:w="0" w:type="dxa"/>
            <w:right w:w="108" w:type="dxa"/>
          </w:tblCellMar>
        </w:tblPrEx>
        <w:trPr>
          <w:trHeight w:val="1620" w:hRule="atLeast"/>
          <w:jc w:val="center"/>
        </w:trPr>
        <w:tc>
          <w:tcPr>
            <w:tcW w:w="970" w:type="dxa"/>
            <w:tcBorders>
              <w:top w:val="nil"/>
              <w:left w:val="single" w:color="auto" w:sz="4" w:space="0"/>
              <w:bottom w:val="single" w:color="auto" w:sz="4" w:space="0"/>
              <w:right w:val="single" w:color="auto" w:sz="4" w:space="0"/>
            </w:tcBorders>
            <w:shd w:val="clear" w:color="auto" w:fill="auto"/>
            <w:noWrap/>
            <w:vAlign w:val="center"/>
          </w:tcPr>
          <w:p w14:paraId="323EF965">
            <w:pPr>
              <w:ind w:left="110" w:hanging="110"/>
              <w:jc w:val="center"/>
              <w:rPr>
                <w:rFonts w:ascii="宋体" w:hAnsi="宋体" w:cs="宋体"/>
                <w:color w:val="000000"/>
                <w:sz w:val="22"/>
                <w:szCs w:val="22"/>
              </w:rPr>
            </w:pPr>
            <w:r>
              <w:rPr>
                <w:rFonts w:hint="eastAsia"/>
                <w:color w:val="000000"/>
                <w:sz w:val="22"/>
                <w:szCs w:val="22"/>
              </w:rPr>
              <w:t>11</w:t>
            </w:r>
          </w:p>
        </w:tc>
        <w:tc>
          <w:tcPr>
            <w:tcW w:w="1635" w:type="dxa"/>
            <w:tcBorders>
              <w:top w:val="nil"/>
              <w:left w:val="nil"/>
              <w:bottom w:val="single" w:color="auto" w:sz="4" w:space="0"/>
              <w:right w:val="single" w:color="auto" w:sz="4" w:space="0"/>
            </w:tcBorders>
            <w:shd w:val="clear" w:color="FFFFFF" w:fill="FFFFFF"/>
            <w:vAlign w:val="center"/>
          </w:tcPr>
          <w:p w14:paraId="17C7F673">
            <w:pPr>
              <w:ind w:left="110" w:hanging="110"/>
              <w:jc w:val="center"/>
              <w:rPr>
                <w:rFonts w:ascii="宋体" w:hAnsi="宋体" w:cs="宋体"/>
                <w:sz w:val="22"/>
                <w:szCs w:val="22"/>
              </w:rPr>
            </w:pPr>
            <w:r>
              <w:rPr>
                <w:rFonts w:hint="eastAsia"/>
                <w:sz w:val="22"/>
                <w:szCs w:val="22"/>
              </w:rPr>
              <w:t>植筋</w:t>
            </w:r>
          </w:p>
        </w:tc>
        <w:tc>
          <w:tcPr>
            <w:tcW w:w="3810" w:type="dxa"/>
            <w:tcBorders>
              <w:top w:val="nil"/>
              <w:left w:val="nil"/>
              <w:bottom w:val="single" w:color="auto" w:sz="4" w:space="0"/>
              <w:right w:val="nil"/>
            </w:tcBorders>
            <w:shd w:val="clear" w:color="FFFFFF" w:fill="FFFFFF"/>
            <w:vAlign w:val="center"/>
          </w:tcPr>
          <w:p w14:paraId="278B37BC">
            <w:pPr>
              <w:ind w:left="110" w:hanging="110"/>
              <w:rPr>
                <w:sz w:val="22"/>
                <w:szCs w:val="22"/>
              </w:rPr>
            </w:pPr>
            <w:r>
              <w:rPr>
                <w:rFonts w:hint="eastAsia"/>
                <w:sz w:val="22"/>
                <w:szCs w:val="22"/>
              </w:rPr>
              <w:t>1.材料种类：钢筋</w:t>
            </w:r>
          </w:p>
          <w:p w14:paraId="12346044">
            <w:pPr>
              <w:ind w:left="110" w:hanging="110"/>
              <w:rPr>
                <w:sz w:val="22"/>
                <w:szCs w:val="22"/>
              </w:rPr>
            </w:pPr>
            <w:r>
              <w:rPr>
                <w:rFonts w:hint="eastAsia"/>
                <w:sz w:val="22"/>
                <w:szCs w:val="22"/>
              </w:rPr>
              <w:t>2.材料规格：φ28</w:t>
            </w:r>
          </w:p>
          <w:p w14:paraId="7B0389A1">
            <w:pPr>
              <w:ind w:left="110" w:hanging="110"/>
              <w:rPr>
                <w:sz w:val="22"/>
                <w:szCs w:val="22"/>
              </w:rPr>
            </w:pPr>
            <w:r>
              <w:rPr>
                <w:rFonts w:hint="eastAsia"/>
                <w:sz w:val="22"/>
                <w:szCs w:val="22"/>
              </w:rPr>
              <w:t>3.植入深度：35cm</w:t>
            </w:r>
          </w:p>
          <w:p w14:paraId="2CCCF5EC">
            <w:pPr>
              <w:ind w:left="110" w:hanging="110"/>
              <w:rPr>
                <w:sz w:val="22"/>
                <w:szCs w:val="22"/>
              </w:rPr>
            </w:pPr>
            <w:r>
              <w:rPr>
                <w:rFonts w:hint="eastAsia"/>
                <w:sz w:val="22"/>
                <w:szCs w:val="22"/>
              </w:rPr>
              <w:t>4.植筋胶品种：强力植筋胶</w:t>
            </w:r>
          </w:p>
          <w:p w14:paraId="026016AA">
            <w:pPr>
              <w:ind w:left="110" w:hanging="110"/>
              <w:rPr>
                <w:rFonts w:ascii="宋体" w:hAnsi="宋体" w:cs="宋体"/>
                <w:sz w:val="22"/>
                <w:szCs w:val="22"/>
              </w:rPr>
            </w:pPr>
            <w:r>
              <w:rPr>
                <w:rFonts w:hint="eastAsia"/>
                <w:sz w:val="22"/>
                <w:szCs w:val="22"/>
              </w:rPr>
              <w:t>5.其他：符合图纸设计及其他相关要求</w:t>
            </w:r>
          </w:p>
        </w:tc>
        <w:tc>
          <w:tcPr>
            <w:tcW w:w="990" w:type="dxa"/>
            <w:tcBorders>
              <w:top w:val="nil"/>
              <w:left w:val="single" w:color="auto" w:sz="4" w:space="0"/>
              <w:bottom w:val="single" w:color="auto" w:sz="4" w:space="0"/>
              <w:right w:val="single" w:color="auto" w:sz="4" w:space="0"/>
            </w:tcBorders>
            <w:shd w:val="clear" w:color="FFFFFF" w:fill="FFFFFF"/>
            <w:vAlign w:val="center"/>
          </w:tcPr>
          <w:p w14:paraId="265484EA">
            <w:pPr>
              <w:ind w:left="110" w:hanging="110"/>
              <w:jc w:val="center"/>
              <w:rPr>
                <w:rFonts w:ascii="宋体" w:hAnsi="宋体" w:cs="宋体"/>
                <w:sz w:val="22"/>
                <w:szCs w:val="22"/>
              </w:rPr>
            </w:pPr>
            <w:r>
              <w:rPr>
                <w:rFonts w:hint="eastAsia"/>
                <w:sz w:val="22"/>
                <w:szCs w:val="22"/>
              </w:rPr>
              <w:t>根</w:t>
            </w:r>
          </w:p>
        </w:tc>
        <w:tc>
          <w:tcPr>
            <w:tcW w:w="1065" w:type="dxa"/>
            <w:tcBorders>
              <w:top w:val="nil"/>
              <w:left w:val="nil"/>
              <w:bottom w:val="single" w:color="auto" w:sz="4" w:space="0"/>
              <w:right w:val="single" w:color="auto" w:sz="4" w:space="0"/>
            </w:tcBorders>
            <w:shd w:val="clear" w:color="FFFFFF" w:fill="FFFFFF"/>
            <w:vAlign w:val="center"/>
          </w:tcPr>
          <w:p w14:paraId="321DCA48">
            <w:pPr>
              <w:ind w:left="110" w:hanging="110"/>
              <w:jc w:val="center"/>
              <w:rPr>
                <w:rFonts w:ascii="宋体" w:hAnsi="宋体" w:cs="宋体"/>
                <w:sz w:val="22"/>
                <w:szCs w:val="22"/>
              </w:rPr>
            </w:pPr>
            <w:r>
              <w:rPr>
                <w:rFonts w:hint="eastAsia"/>
                <w:sz w:val="22"/>
                <w:szCs w:val="22"/>
              </w:rPr>
              <w:t>590</w:t>
            </w:r>
          </w:p>
        </w:tc>
        <w:tc>
          <w:tcPr>
            <w:tcW w:w="1380" w:type="dxa"/>
            <w:tcBorders>
              <w:top w:val="nil"/>
              <w:left w:val="nil"/>
              <w:bottom w:val="single" w:color="auto" w:sz="4" w:space="0"/>
              <w:right w:val="single" w:color="auto" w:sz="4" w:space="0"/>
            </w:tcBorders>
            <w:shd w:val="clear" w:color="auto" w:fill="auto"/>
            <w:noWrap/>
            <w:vAlign w:val="center"/>
          </w:tcPr>
          <w:p w14:paraId="78C73FE5">
            <w:pPr>
              <w:ind w:left="0" w:right="0" w:firstLine="0" w:firstLineChars="0"/>
              <w:jc w:val="center"/>
              <w:rPr>
                <w:rFonts w:ascii="宋体" w:hAnsi="宋体" w:cs="宋体"/>
                <w:color w:val="000000"/>
                <w:sz w:val="22"/>
                <w:szCs w:val="22"/>
              </w:rPr>
            </w:pPr>
          </w:p>
        </w:tc>
      </w:tr>
      <w:tr w14:paraId="5AEA869B">
        <w:tblPrEx>
          <w:tblCellMar>
            <w:top w:w="0" w:type="dxa"/>
            <w:left w:w="108" w:type="dxa"/>
            <w:bottom w:w="0" w:type="dxa"/>
            <w:right w:w="108" w:type="dxa"/>
          </w:tblCellMar>
        </w:tblPrEx>
        <w:trPr>
          <w:trHeight w:val="810" w:hRule="atLeast"/>
          <w:jc w:val="center"/>
        </w:trPr>
        <w:tc>
          <w:tcPr>
            <w:tcW w:w="970" w:type="dxa"/>
            <w:tcBorders>
              <w:top w:val="nil"/>
              <w:left w:val="single" w:color="auto" w:sz="4" w:space="0"/>
              <w:bottom w:val="single" w:color="auto" w:sz="4" w:space="0"/>
              <w:right w:val="single" w:color="auto" w:sz="4" w:space="0"/>
            </w:tcBorders>
            <w:shd w:val="clear" w:color="auto" w:fill="auto"/>
            <w:noWrap/>
            <w:vAlign w:val="center"/>
          </w:tcPr>
          <w:p w14:paraId="477087E7">
            <w:pPr>
              <w:ind w:left="110" w:hanging="110"/>
              <w:jc w:val="center"/>
              <w:rPr>
                <w:rFonts w:ascii="宋体" w:hAnsi="宋体" w:cs="宋体"/>
                <w:color w:val="000000"/>
                <w:sz w:val="22"/>
                <w:szCs w:val="22"/>
              </w:rPr>
            </w:pPr>
            <w:r>
              <w:rPr>
                <w:rFonts w:hint="eastAsia"/>
                <w:color w:val="000000"/>
                <w:sz w:val="22"/>
                <w:szCs w:val="22"/>
              </w:rPr>
              <w:t>12</w:t>
            </w:r>
          </w:p>
        </w:tc>
        <w:tc>
          <w:tcPr>
            <w:tcW w:w="1635" w:type="dxa"/>
            <w:tcBorders>
              <w:top w:val="nil"/>
              <w:left w:val="nil"/>
              <w:bottom w:val="single" w:color="auto" w:sz="4" w:space="0"/>
              <w:right w:val="single" w:color="auto" w:sz="4" w:space="0"/>
            </w:tcBorders>
            <w:shd w:val="clear" w:color="FFFFFF" w:fill="FFFFFF"/>
            <w:vAlign w:val="center"/>
          </w:tcPr>
          <w:p w14:paraId="5D0A3F93">
            <w:pPr>
              <w:ind w:left="110" w:hanging="110"/>
              <w:jc w:val="center"/>
              <w:rPr>
                <w:rFonts w:ascii="宋体" w:hAnsi="宋体" w:cs="宋体"/>
                <w:sz w:val="22"/>
                <w:szCs w:val="22"/>
              </w:rPr>
            </w:pPr>
            <w:r>
              <w:rPr>
                <w:rFonts w:hint="eastAsia"/>
                <w:sz w:val="22"/>
                <w:szCs w:val="22"/>
              </w:rPr>
              <w:t>过路钢板</w:t>
            </w:r>
          </w:p>
        </w:tc>
        <w:tc>
          <w:tcPr>
            <w:tcW w:w="3810" w:type="dxa"/>
            <w:tcBorders>
              <w:top w:val="nil"/>
              <w:left w:val="nil"/>
              <w:bottom w:val="single" w:color="auto" w:sz="4" w:space="0"/>
              <w:right w:val="nil"/>
            </w:tcBorders>
            <w:shd w:val="clear" w:color="FFFFFF" w:fill="FFFFFF"/>
            <w:vAlign w:val="center"/>
          </w:tcPr>
          <w:p w14:paraId="57857237">
            <w:pPr>
              <w:ind w:left="110" w:hanging="110"/>
              <w:rPr>
                <w:sz w:val="22"/>
                <w:szCs w:val="22"/>
              </w:rPr>
            </w:pPr>
            <w:r>
              <w:rPr>
                <w:rFonts w:hint="eastAsia"/>
                <w:sz w:val="22"/>
                <w:szCs w:val="22"/>
              </w:rPr>
              <w:t>1.材料种类：Q235钢板 2400×1200*5</w:t>
            </w:r>
          </w:p>
          <w:p w14:paraId="4F24F5EA">
            <w:pPr>
              <w:ind w:left="110" w:hanging="110"/>
              <w:rPr>
                <w:rFonts w:ascii="宋体" w:hAnsi="宋体" w:cs="宋体"/>
                <w:sz w:val="22"/>
                <w:szCs w:val="22"/>
              </w:rPr>
            </w:pPr>
            <w:r>
              <w:rPr>
                <w:rFonts w:hint="eastAsia"/>
                <w:sz w:val="22"/>
                <w:szCs w:val="22"/>
              </w:rPr>
              <w:t>2.其他：符合图纸设计及其他相关要求</w:t>
            </w:r>
          </w:p>
        </w:tc>
        <w:tc>
          <w:tcPr>
            <w:tcW w:w="990" w:type="dxa"/>
            <w:tcBorders>
              <w:top w:val="nil"/>
              <w:left w:val="single" w:color="auto" w:sz="4" w:space="0"/>
              <w:bottom w:val="single" w:color="auto" w:sz="4" w:space="0"/>
              <w:right w:val="single" w:color="auto" w:sz="4" w:space="0"/>
            </w:tcBorders>
            <w:shd w:val="clear" w:color="FFFFFF" w:fill="FFFFFF"/>
            <w:vAlign w:val="center"/>
          </w:tcPr>
          <w:p w14:paraId="4700EB2E">
            <w:pPr>
              <w:ind w:left="110" w:hanging="110"/>
              <w:jc w:val="center"/>
              <w:rPr>
                <w:rFonts w:ascii="宋体" w:hAnsi="宋体" w:cs="宋体"/>
                <w:sz w:val="22"/>
                <w:szCs w:val="22"/>
              </w:rPr>
            </w:pPr>
            <w:r>
              <w:rPr>
                <w:rFonts w:hint="eastAsia"/>
                <w:sz w:val="22"/>
                <w:szCs w:val="22"/>
              </w:rPr>
              <w:t>块</w:t>
            </w:r>
          </w:p>
        </w:tc>
        <w:tc>
          <w:tcPr>
            <w:tcW w:w="1065" w:type="dxa"/>
            <w:tcBorders>
              <w:top w:val="nil"/>
              <w:left w:val="nil"/>
              <w:bottom w:val="single" w:color="auto" w:sz="4" w:space="0"/>
              <w:right w:val="single" w:color="auto" w:sz="4" w:space="0"/>
            </w:tcBorders>
            <w:shd w:val="clear" w:color="FFFFFF" w:fill="FFFFFF"/>
            <w:vAlign w:val="center"/>
          </w:tcPr>
          <w:p w14:paraId="00B9749E">
            <w:pPr>
              <w:ind w:left="110" w:hanging="110"/>
              <w:jc w:val="center"/>
              <w:rPr>
                <w:rFonts w:ascii="宋体" w:hAnsi="宋体" w:cs="宋体"/>
                <w:sz w:val="22"/>
                <w:szCs w:val="22"/>
              </w:rPr>
            </w:pPr>
            <w:r>
              <w:rPr>
                <w:rFonts w:hint="eastAsia"/>
                <w:sz w:val="22"/>
                <w:szCs w:val="22"/>
              </w:rPr>
              <w:t>5</w:t>
            </w:r>
          </w:p>
        </w:tc>
        <w:tc>
          <w:tcPr>
            <w:tcW w:w="1380" w:type="dxa"/>
            <w:tcBorders>
              <w:top w:val="nil"/>
              <w:left w:val="nil"/>
              <w:bottom w:val="single" w:color="auto" w:sz="4" w:space="0"/>
              <w:right w:val="single" w:color="auto" w:sz="4" w:space="0"/>
            </w:tcBorders>
            <w:shd w:val="clear" w:color="auto" w:fill="auto"/>
            <w:noWrap/>
            <w:vAlign w:val="center"/>
          </w:tcPr>
          <w:p w14:paraId="7034334D">
            <w:pPr>
              <w:ind w:left="0" w:right="0" w:firstLine="0" w:firstLineChars="0"/>
              <w:jc w:val="center"/>
              <w:rPr>
                <w:rFonts w:ascii="宋体" w:hAnsi="宋体" w:cs="宋体"/>
                <w:color w:val="000000"/>
                <w:sz w:val="22"/>
                <w:szCs w:val="22"/>
              </w:rPr>
            </w:pPr>
          </w:p>
        </w:tc>
      </w:tr>
      <w:tr w14:paraId="7AE8B663">
        <w:tblPrEx>
          <w:tblCellMar>
            <w:top w:w="0" w:type="dxa"/>
            <w:left w:w="108" w:type="dxa"/>
            <w:bottom w:w="0" w:type="dxa"/>
            <w:right w:w="108" w:type="dxa"/>
          </w:tblCellMar>
        </w:tblPrEx>
        <w:trPr>
          <w:trHeight w:val="1080" w:hRule="atLeast"/>
          <w:jc w:val="center"/>
        </w:trPr>
        <w:tc>
          <w:tcPr>
            <w:tcW w:w="970" w:type="dxa"/>
            <w:tcBorders>
              <w:top w:val="nil"/>
              <w:left w:val="single" w:color="auto" w:sz="4" w:space="0"/>
              <w:bottom w:val="single" w:color="auto" w:sz="4" w:space="0"/>
              <w:right w:val="single" w:color="auto" w:sz="4" w:space="0"/>
            </w:tcBorders>
            <w:shd w:val="clear" w:color="auto" w:fill="auto"/>
            <w:noWrap/>
            <w:vAlign w:val="center"/>
          </w:tcPr>
          <w:p w14:paraId="10C347EF">
            <w:pPr>
              <w:ind w:left="110" w:hanging="110"/>
              <w:jc w:val="center"/>
              <w:rPr>
                <w:rFonts w:ascii="宋体" w:hAnsi="宋体" w:cs="宋体"/>
                <w:color w:val="000000"/>
                <w:sz w:val="22"/>
                <w:szCs w:val="22"/>
              </w:rPr>
            </w:pPr>
            <w:r>
              <w:rPr>
                <w:rFonts w:hint="eastAsia"/>
                <w:color w:val="000000"/>
                <w:sz w:val="22"/>
                <w:szCs w:val="22"/>
              </w:rPr>
              <w:t>13</w:t>
            </w:r>
          </w:p>
        </w:tc>
        <w:tc>
          <w:tcPr>
            <w:tcW w:w="1635" w:type="dxa"/>
            <w:tcBorders>
              <w:top w:val="nil"/>
              <w:left w:val="nil"/>
              <w:bottom w:val="single" w:color="auto" w:sz="4" w:space="0"/>
              <w:right w:val="single" w:color="auto" w:sz="4" w:space="0"/>
            </w:tcBorders>
            <w:shd w:val="clear" w:color="FFFFFF" w:fill="FFFFFF"/>
            <w:vAlign w:val="center"/>
          </w:tcPr>
          <w:p w14:paraId="54ABAE92">
            <w:pPr>
              <w:ind w:left="110" w:hanging="110"/>
              <w:jc w:val="center"/>
              <w:rPr>
                <w:rFonts w:ascii="宋体" w:hAnsi="宋体" w:cs="宋体"/>
                <w:sz w:val="22"/>
                <w:szCs w:val="22"/>
              </w:rPr>
            </w:pPr>
            <w:r>
              <w:rPr>
                <w:rFonts w:hint="eastAsia"/>
                <w:sz w:val="22"/>
                <w:szCs w:val="22"/>
              </w:rPr>
              <w:t>污水管清淤</w:t>
            </w:r>
          </w:p>
        </w:tc>
        <w:tc>
          <w:tcPr>
            <w:tcW w:w="3810" w:type="dxa"/>
            <w:tcBorders>
              <w:top w:val="nil"/>
              <w:left w:val="nil"/>
              <w:bottom w:val="single" w:color="auto" w:sz="4" w:space="0"/>
              <w:right w:val="nil"/>
            </w:tcBorders>
            <w:shd w:val="clear" w:color="FFFFFF" w:fill="FFFFFF"/>
            <w:vAlign w:val="center"/>
          </w:tcPr>
          <w:p w14:paraId="4704B303">
            <w:pPr>
              <w:ind w:left="110" w:hanging="110"/>
              <w:rPr>
                <w:sz w:val="22"/>
                <w:szCs w:val="22"/>
              </w:rPr>
            </w:pPr>
            <w:r>
              <w:rPr>
                <w:rFonts w:hint="eastAsia"/>
                <w:sz w:val="22"/>
                <w:szCs w:val="22"/>
              </w:rPr>
              <w:t>1.挖掘深度：积泥全封堵</w:t>
            </w:r>
          </w:p>
          <w:p w14:paraId="3FAB25D6">
            <w:pPr>
              <w:ind w:left="110" w:hanging="110"/>
              <w:rPr>
                <w:sz w:val="22"/>
                <w:szCs w:val="22"/>
              </w:rPr>
            </w:pPr>
            <w:r>
              <w:rPr>
                <w:rFonts w:hint="eastAsia"/>
                <w:sz w:val="22"/>
                <w:szCs w:val="22"/>
              </w:rPr>
              <w:t>2.弃淤泥、流砂距离：5km</w:t>
            </w:r>
          </w:p>
          <w:p w14:paraId="0B0A1F7C">
            <w:pPr>
              <w:ind w:left="110" w:hanging="110"/>
              <w:rPr>
                <w:rFonts w:ascii="宋体" w:hAnsi="宋体" w:cs="宋体"/>
                <w:sz w:val="22"/>
                <w:szCs w:val="22"/>
              </w:rPr>
            </w:pPr>
            <w:r>
              <w:rPr>
                <w:rFonts w:hint="eastAsia"/>
                <w:sz w:val="22"/>
                <w:szCs w:val="22"/>
              </w:rPr>
              <w:t>3.其他：符合图纸设计及其他相关要求</w:t>
            </w:r>
          </w:p>
        </w:tc>
        <w:tc>
          <w:tcPr>
            <w:tcW w:w="990" w:type="dxa"/>
            <w:tcBorders>
              <w:top w:val="nil"/>
              <w:left w:val="single" w:color="auto" w:sz="4" w:space="0"/>
              <w:bottom w:val="single" w:color="auto" w:sz="4" w:space="0"/>
              <w:right w:val="single" w:color="auto" w:sz="4" w:space="0"/>
            </w:tcBorders>
            <w:shd w:val="clear" w:color="FFFFFF" w:fill="FFFFFF"/>
            <w:vAlign w:val="center"/>
          </w:tcPr>
          <w:p w14:paraId="50DF8C12">
            <w:pPr>
              <w:ind w:left="110" w:hanging="110"/>
              <w:jc w:val="center"/>
              <w:rPr>
                <w:rFonts w:ascii="宋体" w:hAnsi="宋体" w:cs="宋体"/>
                <w:sz w:val="22"/>
                <w:szCs w:val="22"/>
              </w:rPr>
            </w:pPr>
            <w:r>
              <w:rPr>
                <w:rFonts w:hint="eastAsia"/>
                <w:sz w:val="22"/>
                <w:szCs w:val="22"/>
              </w:rPr>
              <w:t>m</w:t>
            </w:r>
          </w:p>
        </w:tc>
        <w:tc>
          <w:tcPr>
            <w:tcW w:w="1065" w:type="dxa"/>
            <w:tcBorders>
              <w:top w:val="nil"/>
              <w:left w:val="nil"/>
              <w:bottom w:val="single" w:color="auto" w:sz="4" w:space="0"/>
              <w:right w:val="single" w:color="auto" w:sz="4" w:space="0"/>
            </w:tcBorders>
            <w:shd w:val="clear" w:color="FFFFFF" w:fill="FFFFFF"/>
            <w:vAlign w:val="center"/>
          </w:tcPr>
          <w:p w14:paraId="5BA420AD">
            <w:pPr>
              <w:ind w:left="110" w:hanging="110"/>
              <w:jc w:val="center"/>
              <w:rPr>
                <w:rFonts w:ascii="宋体" w:hAnsi="宋体" w:cs="宋体"/>
                <w:sz w:val="22"/>
                <w:szCs w:val="22"/>
              </w:rPr>
            </w:pPr>
            <w:r>
              <w:rPr>
                <w:rFonts w:hint="eastAsia"/>
                <w:sz w:val="22"/>
                <w:szCs w:val="22"/>
              </w:rPr>
              <w:t>387</w:t>
            </w:r>
          </w:p>
        </w:tc>
        <w:tc>
          <w:tcPr>
            <w:tcW w:w="1380" w:type="dxa"/>
            <w:tcBorders>
              <w:top w:val="nil"/>
              <w:left w:val="nil"/>
              <w:bottom w:val="single" w:color="auto" w:sz="4" w:space="0"/>
              <w:right w:val="single" w:color="auto" w:sz="4" w:space="0"/>
            </w:tcBorders>
            <w:shd w:val="clear" w:color="auto" w:fill="auto"/>
            <w:noWrap/>
            <w:vAlign w:val="center"/>
          </w:tcPr>
          <w:p w14:paraId="267C276C">
            <w:pPr>
              <w:ind w:left="0" w:right="0" w:firstLine="0" w:firstLineChars="0"/>
              <w:jc w:val="center"/>
              <w:rPr>
                <w:rFonts w:ascii="宋体" w:hAnsi="宋体" w:cs="宋体"/>
                <w:color w:val="000000"/>
                <w:sz w:val="22"/>
                <w:szCs w:val="22"/>
              </w:rPr>
            </w:pPr>
          </w:p>
        </w:tc>
      </w:tr>
      <w:tr w14:paraId="65D2C714">
        <w:tblPrEx>
          <w:tblCellMar>
            <w:top w:w="0" w:type="dxa"/>
            <w:left w:w="108" w:type="dxa"/>
            <w:bottom w:w="0" w:type="dxa"/>
            <w:right w:w="108" w:type="dxa"/>
          </w:tblCellMar>
        </w:tblPrEx>
        <w:trPr>
          <w:trHeight w:val="270" w:hRule="atLeast"/>
          <w:jc w:val="center"/>
        </w:trPr>
        <w:tc>
          <w:tcPr>
            <w:tcW w:w="970" w:type="dxa"/>
            <w:tcBorders>
              <w:top w:val="nil"/>
              <w:left w:val="single" w:color="auto" w:sz="4" w:space="0"/>
              <w:bottom w:val="single" w:color="auto" w:sz="4" w:space="0"/>
              <w:right w:val="single" w:color="auto" w:sz="4" w:space="0"/>
            </w:tcBorders>
            <w:shd w:val="clear" w:color="auto" w:fill="auto"/>
            <w:noWrap/>
            <w:vAlign w:val="center"/>
          </w:tcPr>
          <w:p w14:paraId="223B43BE">
            <w:pPr>
              <w:ind w:left="110" w:hanging="110"/>
              <w:jc w:val="center"/>
              <w:rPr>
                <w:rFonts w:ascii="宋体" w:hAnsi="宋体" w:cs="宋体"/>
                <w:color w:val="000000"/>
                <w:sz w:val="22"/>
                <w:szCs w:val="22"/>
              </w:rPr>
            </w:pPr>
            <w:r>
              <w:rPr>
                <w:rFonts w:hint="eastAsia"/>
                <w:color w:val="000000"/>
                <w:sz w:val="22"/>
                <w:szCs w:val="22"/>
              </w:rPr>
              <w:t>14</w:t>
            </w:r>
          </w:p>
        </w:tc>
        <w:tc>
          <w:tcPr>
            <w:tcW w:w="1635" w:type="dxa"/>
            <w:tcBorders>
              <w:top w:val="nil"/>
              <w:left w:val="nil"/>
              <w:bottom w:val="single" w:color="auto" w:sz="4" w:space="0"/>
              <w:right w:val="single" w:color="auto" w:sz="4" w:space="0"/>
            </w:tcBorders>
            <w:shd w:val="clear" w:color="FFFFFF" w:fill="FFFFFF"/>
            <w:vAlign w:val="center"/>
          </w:tcPr>
          <w:p w14:paraId="37844D39">
            <w:pPr>
              <w:ind w:left="110" w:hanging="110"/>
              <w:jc w:val="center"/>
              <w:rPr>
                <w:rFonts w:ascii="宋体" w:hAnsi="宋体" w:cs="宋体"/>
                <w:sz w:val="22"/>
                <w:szCs w:val="22"/>
              </w:rPr>
            </w:pPr>
            <w:r>
              <w:rPr>
                <w:rFonts w:hint="eastAsia"/>
                <w:sz w:val="22"/>
                <w:szCs w:val="22"/>
              </w:rPr>
              <w:t>施工围栏</w:t>
            </w:r>
          </w:p>
        </w:tc>
        <w:tc>
          <w:tcPr>
            <w:tcW w:w="3810" w:type="dxa"/>
            <w:tcBorders>
              <w:top w:val="nil"/>
              <w:left w:val="nil"/>
              <w:bottom w:val="single" w:color="auto" w:sz="4" w:space="0"/>
              <w:right w:val="nil"/>
            </w:tcBorders>
            <w:shd w:val="clear" w:color="FFFFFF" w:fill="FFFFFF"/>
            <w:vAlign w:val="center"/>
          </w:tcPr>
          <w:p w14:paraId="22A5756D">
            <w:pPr>
              <w:ind w:left="110" w:hanging="110"/>
              <w:rPr>
                <w:rFonts w:ascii="宋体" w:hAnsi="宋体" w:cs="宋体"/>
                <w:sz w:val="22"/>
                <w:szCs w:val="22"/>
              </w:rPr>
            </w:pPr>
          </w:p>
        </w:tc>
        <w:tc>
          <w:tcPr>
            <w:tcW w:w="990" w:type="dxa"/>
            <w:tcBorders>
              <w:top w:val="nil"/>
              <w:left w:val="single" w:color="auto" w:sz="4" w:space="0"/>
              <w:bottom w:val="single" w:color="auto" w:sz="4" w:space="0"/>
              <w:right w:val="single" w:color="auto" w:sz="4" w:space="0"/>
            </w:tcBorders>
            <w:shd w:val="clear" w:color="FFFFFF" w:fill="FFFFFF"/>
            <w:vAlign w:val="center"/>
          </w:tcPr>
          <w:p w14:paraId="113D0FE2">
            <w:pPr>
              <w:ind w:left="110" w:hanging="110"/>
              <w:jc w:val="center"/>
              <w:rPr>
                <w:rFonts w:ascii="宋体" w:hAnsi="宋体" w:cs="宋体"/>
                <w:sz w:val="22"/>
                <w:szCs w:val="22"/>
              </w:rPr>
            </w:pPr>
            <w:r>
              <w:rPr>
                <w:rFonts w:hint="eastAsia"/>
                <w:sz w:val="22"/>
                <w:szCs w:val="22"/>
              </w:rPr>
              <w:t>m</w:t>
            </w:r>
          </w:p>
        </w:tc>
        <w:tc>
          <w:tcPr>
            <w:tcW w:w="1065" w:type="dxa"/>
            <w:tcBorders>
              <w:top w:val="nil"/>
              <w:left w:val="nil"/>
              <w:bottom w:val="single" w:color="auto" w:sz="4" w:space="0"/>
              <w:right w:val="single" w:color="auto" w:sz="4" w:space="0"/>
            </w:tcBorders>
            <w:shd w:val="clear" w:color="FFFFFF" w:fill="FFFFFF"/>
            <w:vAlign w:val="center"/>
          </w:tcPr>
          <w:p w14:paraId="33A613F3">
            <w:pPr>
              <w:ind w:left="110" w:hanging="110"/>
              <w:jc w:val="center"/>
              <w:rPr>
                <w:rFonts w:ascii="宋体" w:hAnsi="宋体" w:cs="宋体"/>
                <w:sz w:val="22"/>
                <w:szCs w:val="22"/>
              </w:rPr>
            </w:pPr>
            <w:r>
              <w:rPr>
                <w:rFonts w:hint="eastAsia"/>
                <w:sz w:val="22"/>
                <w:szCs w:val="22"/>
              </w:rPr>
              <w:t>596</w:t>
            </w:r>
          </w:p>
        </w:tc>
        <w:tc>
          <w:tcPr>
            <w:tcW w:w="1380" w:type="dxa"/>
            <w:tcBorders>
              <w:top w:val="nil"/>
              <w:left w:val="nil"/>
              <w:bottom w:val="single" w:color="auto" w:sz="4" w:space="0"/>
              <w:right w:val="single" w:color="auto" w:sz="4" w:space="0"/>
            </w:tcBorders>
            <w:shd w:val="clear" w:color="auto" w:fill="auto"/>
            <w:noWrap/>
            <w:vAlign w:val="center"/>
          </w:tcPr>
          <w:p w14:paraId="4BC1EAD0">
            <w:pPr>
              <w:ind w:left="0" w:right="0" w:firstLine="0" w:firstLineChars="0"/>
              <w:jc w:val="center"/>
              <w:rPr>
                <w:rFonts w:ascii="宋体" w:hAnsi="宋体" w:cs="宋体"/>
                <w:color w:val="000000"/>
                <w:sz w:val="22"/>
                <w:szCs w:val="22"/>
              </w:rPr>
            </w:pPr>
          </w:p>
        </w:tc>
      </w:tr>
      <w:tr w14:paraId="78255DD9">
        <w:tblPrEx>
          <w:tblCellMar>
            <w:top w:w="0" w:type="dxa"/>
            <w:left w:w="108" w:type="dxa"/>
            <w:bottom w:w="0" w:type="dxa"/>
            <w:right w:w="108" w:type="dxa"/>
          </w:tblCellMar>
        </w:tblPrEx>
        <w:trPr>
          <w:trHeight w:val="270" w:hRule="atLeast"/>
          <w:jc w:val="center"/>
        </w:trPr>
        <w:tc>
          <w:tcPr>
            <w:tcW w:w="970" w:type="dxa"/>
            <w:tcBorders>
              <w:top w:val="nil"/>
              <w:left w:val="single" w:color="auto" w:sz="4" w:space="0"/>
              <w:bottom w:val="single" w:color="auto" w:sz="4" w:space="0"/>
              <w:right w:val="single" w:color="auto" w:sz="4" w:space="0"/>
            </w:tcBorders>
            <w:shd w:val="clear" w:color="auto" w:fill="auto"/>
            <w:noWrap/>
            <w:vAlign w:val="center"/>
          </w:tcPr>
          <w:p w14:paraId="61C949CA">
            <w:pPr>
              <w:ind w:left="110" w:hanging="110"/>
              <w:jc w:val="center"/>
              <w:rPr>
                <w:rFonts w:ascii="宋体" w:hAnsi="宋体" w:cs="宋体"/>
                <w:color w:val="000000"/>
                <w:sz w:val="22"/>
                <w:szCs w:val="22"/>
              </w:rPr>
            </w:pPr>
            <w:r>
              <w:rPr>
                <w:rFonts w:hint="eastAsia"/>
                <w:color w:val="000000"/>
                <w:sz w:val="22"/>
                <w:szCs w:val="22"/>
              </w:rPr>
              <w:t>15</w:t>
            </w:r>
          </w:p>
        </w:tc>
        <w:tc>
          <w:tcPr>
            <w:tcW w:w="1635" w:type="dxa"/>
            <w:tcBorders>
              <w:top w:val="nil"/>
              <w:left w:val="nil"/>
              <w:bottom w:val="single" w:color="auto" w:sz="4" w:space="0"/>
              <w:right w:val="single" w:color="auto" w:sz="4" w:space="0"/>
            </w:tcBorders>
            <w:shd w:val="clear" w:color="auto" w:fill="auto"/>
            <w:noWrap/>
            <w:vAlign w:val="center"/>
          </w:tcPr>
          <w:p w14:paraId="48E16DB2">
            <w:pPr>
              <w:ind w:left="110" w:hanging="110"/>
              <w:jc w:val="center"/>
              <w:rPr>
                <w:rFonts w:ascii="宋体" w:hAnsi="宋体" w:cs="宋体"/>
                <w:color w:val="000000"/>
                <w:sz w:val="22"/>
                <w:szCs w:val="22"/>
              </w:rPr>
            </w:pPr>
            <w:r>
              <w:rPr>
                <w:rFonts w:hint="eastAsia"/>
                <w:color w:val="000000"/>
                <w:sz w:val="22"/>
                <w:szCs w:val="22"/>
              </w:rPr>
              <w:t>安全文明施工</w:t>
            </w:r>
          </w:p>
        </w:tc>
        <w:tc>
          <w:tcPr>
            <w:tcW w:w="3810" w:type="dxa"/>
            <w:tcBorders>
              <w:top w:val="nil"/>
              <w:left w:val="nil"/>
              <w:bottom w:val="single" w:color="auto" w:sz="4" w:space="0"/>
              <w:right w:val="single" w:color="auto" w:sz="4" w:space="0"/>
            </w:tcBorders>
            <w:shd w:val="clear" w:color="auto" w:fill="auto"/>
            <w:noWrap/>
            <w:vAlign w:val="center"/>
          </w:tcPr>
          <w:p w14:paraId="304AAF35">
            <w:pPr>
              <w:ind w:left="110" w:hanging="110"/>
              <w:rPr>
                <w:rFonts w:ascii="宋体" w:hAnsi="宋体" w:cs="宋体"/>
                <w:color w:val="000000"/>
                <w:sz w:val="22"/>
                <w:szCs w:val="22"/>
              </w:rPr>
            </w:pPr>
          </w:p>
        </w:tc>
        <w:tc>
          <w:tcPr>
            <w:tcW w:w="990" w:type="dxa"/>
            <w:tcBorders>
              <w:top w:val="nil"/>
              <w:left w:val="nil"/>
              <w:bottom w:val="single" w:color="auto" w:sz="4" w:space="0"/>
              <w:right w:val="single" w:color="auto" w:sz="4" w:space="0"/>
            </w:tcBorders>
            <w:shd w:val="clear" w:color="auto" w:fill="auto"/>
            <w:noWrap/>
            <w:vAlign w:val="center"/>
          </w:tcPr>
          <w:p w14:paraId="7F3E6D92">
            <w:pPr>
              <w:ind w:left="110" w:hanging="110"/>
              <w:jc w:val="center"/>
              <w:rPr>
                <w:rFonts w:ascii="宋体" w:hAnsi="宋体" w:cs="宋体"/>
                <w:color w:val="000000"/>
                <w:sz w:val="22"/>
                <w:szCs w:val="22"/>
              </w:rPr>
            </w:pPr>
            <w:r>
              <w:rPr>
                <w:rFonts w:hint="eastAsia"/>
                <w:color w:val="000000"/>
                <w:sz w:val="22"/>
                <w:szCs w:val="22"/>
              </w:rPr>
              <w:t>项</w:t>
            </w:r>
          </w:p>
        </w:tc>
        <w:tc>
          <w:tcPr>
            <w:tcW w:w="1065" w:type="dxa"/>
            <w:tcBorders>
              <w:top w:val="nil"/>
              <w:left w:val="nil"/>
              <w:bottom w:val="single" w:color="auto" w:sz="4" w:space="0"/>
              <w:right w:val="single" w:color="auto" w:sz="4" w:space="0"/>
            </w:tcBorders>
            <w:shd w:val="clear" w:color="auto" w:fill="auto"/>
            <w:noWrap/>
            <w:vAlign w:val="center"/>
          </w:tcPr>
          <w:p w14:paraId="3D59746C">
            <w:pPr>
              <w:ind w:left="110" w:hanging="110"/>
              <w:jc w:val="center"/>
              <w:rPr>
                <w:rFonts w:ascii="宋体" w:hAnsi="宋体" w:cs="宋体"/>
                <w:color w:val="000000"/>
                <w:sz w:val="22"/>
                <w:szCs w:val="22"/>
              </w:rPr>
            </w:pPr>
            <w:r>
              <w:rPr>
                <w:rFonts w:hint="eastAsia"/>
                <w:color w:val="000000"/>
                <w:sz w:val="22"/>
                <w:szCs w:val="22"/>
              </w:rPr>
              <w:t>1</w:t>
            </w:r>
          </w:p>
        </w:tc>
        <w:tc>
          <w:tcPr>
            <w:tcW w:w="1380" w:type="dxa"/>
            <w:tcBorders>
              <w:top w:val="nil"/>
              <w:left w:val="nil"/>
              <w:bottom w:val="single" w:color="auto" w:sz="4" w:space="0"/>
              <w:right w:val="single" w:color="auto" w:sz="4" w:space="0"/>
            </w:tcBorders>
            <w:shd w:val="clear" w:color="auto" w:fill="auto"/>
            <w:noWrap/>
            <w:vAlign w:val="center"/>
          </w:tcPr>
          <w:p w14:paraId="6DFD68E8">
            <w:pPr>
              <w:widowControl/>
              <w:ind w:left="0" w:leftChars="0" w:firstLine="0" w:firstLineChars="0"/>
              <w:jc w:val="left"/>
              <w:rPr>
                <w:rFonts w:ascii="宋体" w:hAnsi="宋体" w:cs="宋体"/>
                <w:color w:val="000000"/>
                <w:sz w:val="22"/>
                <w:szCs w:val="22"/>
              </w:rPr>
            </w:pPr>
          </w:p>
        </w:tc>
      </w:tr>
      <w:tr w14:paraId="1728CACA">
        <w:tblPrEx>
          <w:tblCellMar>
            <w:top w:w="0" w:type="dxa"/>
            <w:left w:w="108" w:type="dxa"/>
            <w:bottom w:w="0" w:type="dxa"/>
            <w:right w:w="108" w:type="dxa"/>
          </w:tblCellMar>
        </w:tblPrEx>
        <w:trPr>
          <w:trHeight w:val="270" w:hRule="atLeast"/>
          <w:jc w:val="center"/>
        </w:trPr>
        <w:tc>
          <w:tcPr>
            <w:tcW w:w="970" w:type="dxa"/>
            <w:tcBorders>
              <w:top w:val="nil"/>
              <w:left w:val="single" w:color="auto" w:sz="4" w:space="0"/>
              <w:bottom w:val="single" w:color="auto" w:sz="4" w:space="0"/>
              <w:right w:val="single" w:color="auto" w:sz="4" w:space="0"/>
            </w:tcBorders>
            <w:shd w:val="clear" w:color="auto" w:fill="auto"/>
            <w:noWrap/>
            <w:vAlign w:val="center"/>
          </w:tcPr>
          <w:p w14:paraId="44633405">
            <w:pPr>
              <w:ind w:left="110" w:hanging="110"/>
              <w:jc w:val="center"/>
              <w:rPr>
                <w:color w:val="000000"/>
                <w:sz w:val="22"/>
                <w:szCs w:val="22"/>
              </w:rPr>
            </w:pPr>
            <w:r>
              <w:rPr>
                <w:rFonts w:hint="eastAsia"/>
                <w:color w:val="000000"/>
                <w:sz w:val="22"/>
                <w:szCs w:val="22"/>
              </w:rPr>
              <w:t>16</w:t>
            </w:r>
          </w:p>
        </w:tc>
        <w:tc>
          <w:tcPr>
            <w:tcW w:w="1635" w:type="dxa"/>
            <w:tcBorders>
              <w:top w:val="nil"/>
              <w:left w:val="nil"/>
              <w:bottom w:val="single" w:color="auto" w:sz="4" w:space="0"/>
              <w:right w:val="single" w:color="auto" w:sz="4" w:space="0"/>
            </w:tcBorders>
            <w:shd w:val="clear" w:color="auto" w:fill="auto"/>
            <w:noWrap/>
            <w:vAlign w:val="center"/>
          </w:tcPr>
          <w:p w14:paraId="31B82FF3">
            <w:pPr>
              <w:ind w:left="110" w:hanging="110"/>
              <w:jc w:val="center"/>
              <w:rPr>
                <w:color w:val="000000"/>
                <w:sz w:val="22"/>
                <w:szCs w:val="22"/>
              </w:rPr>
            </w:pPr>
            <w:r>
              <w:rPr>
                <w:rFonts w:hint="eastAsia"/>
                <w:color w:val="000000"/>
                <w:sz w:val="22"/>
                <w:szCs w:val="22"/>
              </w:rPr>
              <w:t>小计</w:t>
            </w:r>
          </w:p>
        </w:tc>
        <w:tc>
          <w:tcPr>
            <w:tcW w:w="3810" w:type="dxa"/>
            <w:tcBorders>
              <w:top w:val="nil"/>
              <w:left w:val="nil"/>
              <w:bottom w:val="single" w:color="auto" w:sz="4" w:space="0"/>
              <w:right w:val="single" w:color="auto" w:sz="4" w:space="0"/>
            </w:tcBorders>
            <w:shd w:val="clear" w:color="auto" w:fill="auto"/>
            <w:noWrap/>
            <w:vAlign w:val="center"/>
          </w:tcPr>
          <w:p w14:paraId="20BE26FB">
            <w:pPr>
              <w:ind w:left="110" w:hanging="110"/>
              <w:rPr>
                <w:rFonts w:ascii="宋体" w:hAnsi="宋体" w:cs="宋体"/>
                <w:color w:val="000000"/>
                <w:sz w:val="22"/>
                <w:szCs w:val="22"/>
              </w:rPr>
            </w:pPr>
          </w:p>
        </w:tc>
        <w:tc>
          <w:tcPr>
            <w:tcW w:w="990" w:type="dxa"/>
            <w:tcBorders>
              <w:top w:val="nil"/>
              <w:left w:val="nil"/>
              <w:bottom w:val="single" w:color="auto" w:sz="4" w:space="0"/>
              <w:right w:val="single" w:color="auto" w:sz="4" w:space="0"/>
            </w:tcBorders>
            <w:shd w:val="clear" w:color="auto" w:fill="auto"/>
            <w:noWrap/>
            <w:vAlign w:val="center"/>
          </w:tcPr>
          <w:p w14:paraId="5AEDD05E">
            <w:pPr>
              <w:ind w:left="110" w:hanging="110"/>
              <w:jc w:val="center"/>
              <w:rPr>
                <w:color w:val="000000"/>
                <w:sz w:val="22"/>
                <w:szCs w:val="22"/>
              </w:rPr>
            </w:pPr>
          </w:p>
        </w:tc>
        <w:tc>
          <w:tcPr>
            <w:tcW w:w="1065" w:type="dxa"/>
            <w:tcBorders>
              <w:top w:val="nil"/>
              <w:left w:val="nil"/>
              <w:bottom w:val="single" w:color="auto" w:sz="4" w:space="0"/>
              <w:right w:val="single" w:color="auto" w:sz="4" w:space="0"/>
            </w:tcBorders>
            <w:shd w:val="clear" w:color="auto" w:fill="auto"/>
            <w:noWrap/>
            <w:vAlign w:val="center"/>
          </w:tcPr>
          <w:p w14:paraId="306D5F82">
            <w:pPr>
              <w:ind w:left="110" w:hanging="110"/>
              <w:jc w:val="center"/>
              <w:rPr>
                <w:color w:val="000000"/>
                <w:sz w:val="22"/>
                <w:szCs w:val="22"/>
              </w:rPr>
            </w:pPr>
          </w:p>
        </w:tc>
        <w:tc>
          <w:tcPr>
            <w:tcW w:w="1380" w:type="dxa"/>
            <w:tcBorders>
              <w:top w:val="nil"/>
              <w:left w:val="nil"/>
              <w:bottom w:val="single" w:color="auto" w:sz="4" w:space="0"/>
              <w:right w:val="single" w:color="auto" w:sz="4" w:space="0"/>
            </w:tcBorders>
            <w:shd w:val="clear" w:color="auto" w:fill="auto"/>
            <w:noWrap/>
            <w:vAlign w:val="center"/>
          </w:tcPr>
          <w:p w14:paraId="5D3DFFCB">
            <w:pPr>
              <w:ind w:left="0" w:right="0" w:firstLine="0" w:firstLineChars="0"/>
              <w:jc w:val="center"/>
              <w:rPr>
                <w:rFonts w:ascii="宋体" w:hAnsi="宋体" w:cs="宋体"/>
                <w:color w:val="000000"/>
                <w:sz w:val="22"/>
                <w:szCs w:val="22"/>
              </w:rPr>
            </w:pPr>
          </w:p>
        </w:tc>
      </w:tr>
      <w:tr w14:paraId="3DB0C48C">
        <w:tblPrEx>
          <w:tblCellMar>
            <w:top w:w="0" w:type="dxa"/>
            <w:left w:w="108" w:type="dxa"/>
            <w:bottom w:w="0" w:type="dxa"/>
            <w:right w:w="108" w:type="dxa"/>
          </w:tblCellMar>
        </w:tblPrEx>
        <w:trPr>
          <w:trHeight w:val="270" w:hRule="atLeast"/>
          <w:jc w:val="center"/>
        </w:trPr>
        <w:tc>
          <w:tcPr>
            <w:tcW w:w="97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598E413">
            <w:pPr>
              <w:ind w:left="110" w:hanging="110"/>
              <w:jc w:val="center"/>
              <w:rPr>
                <w:color w:val="000000"/>
                <w:sz w:val="22"/>
                <w:szCs w:val="22"/>
              </w:rPr>
            </w:pPr>
            <w:r>
              <w:rPr>
                <w:rFonts w:hint="eastAsia"/>
                <w:color w:val="000000"/>
                <w:sz w:val="22"/>
                <w:szCs w:val="22"/>
              </w:rPr>
              <w:t>17</w:t>
            </w:r>
          </w:p>
        </w:tc>
        <w:tc>
          <w:tcPr>
            <w:tcW w:w="1635" w:type="dxa"/>
            <w:tcBorders>
              <w:top w:val="single" w:color="auto" w:sz="4" w:space="0"/>
              <w:left w:val="nil"/>
              <w:bottom w:val="single" w:color="auto" w:sz="4" w:space="0"/>
              <w:right w:val="single" w:color="auto" w:sz="4" w:space="0"/>
            </w:tcBorders>
            <w:shd w:val="clear" w:color="auto" w:fill="auto"/>
            <w:noWrap/>
            <w:vAlign w:val="center"/>
          </w:tcPr>
          <w:p w14:paraId="522E4F9E">
            <w:pPr>
              <w:ind w:left="110" w:hanging="110"/>
              <w:jc w:val="center"/>
              <w:rPr>
                <w:color w:val="000000"/>
                <w:sz w:val="22"/>
                <w:szCs w:val="22"/>
              </w:rPr>
            </w:pPr>
            <w:r>
              <w:rPr>
                <w:rFonts w:hint="eastAsia"/>
                <w:color w:val="000000"/>
                <w:sz w:val="22"/>
                <w:szCs w:val="22"/>
              </w:rPr>
              <w:t>税费</w:t>
            </w:r>
          </w:p>
        </w:tc>
        <w:tc>
          <w:tcPr>
            <w:tcW w:w="3810" w:type="dxa"/>
            <w:tcBorders>
              <w:top w:val="single" w:color="auto" w:sz="4" w:space="0"/>
              <w:left w:val="nil"/>
              <w:bottom w:val="single" w:color="auto" w:sz="4" w:space="0"/>
              <w:right w:val="single" w:color="auto" w:sz="4" w:space="0"/>
            </w:tcBorders>
            <w:shd w:val="clear" w:color="auto" w:fill="auto"/>
            <w:noWrap/>
            <w:vAlign w:val="center"/>
          </w:tcPr>
          <w:p w14:paraId="32C33585">
            <w:pPr>
              <w:ind w:left="110" w:hanging="110"/>
              <w:rPr>
                <w:rFonts w:ascii="宋体" w:hAnsi="宋体" w:cs="宋体"/>
                <w:color w:val="000000"/>
                <w:sz w:val="22"/>
                <w:szCs w:val="22"/>
              </w:rPr>
            </w:pPr>
          </w:p>
        </w:tc>
        <w:tc>
          <w:tcPr>
            <w:tcW w:w="990" w:type="dxa"/>
            <w:tcBorders>
              <w:top w:val="single" w:color="auto" w:sz="4" w:space="0"/>
              <w:left w:val="nil"/>
              <w:bottom w:val="single" w:color="auto" w:sz="4" w:space="0"/>
              <w:right w:val="single" w:color="auto" w:sz="4" w:space="0"/>
            </w:tcBorders>
            <w:shd w:val="clear" w:color="auto" w:fill="auto"/>
            <w:noWrap/>
            <w:vAlign w:val="center"/>
          </w:tcPr>
          <w:p w14:paraId="61EA4E05">
            <w:pPr>
              <w:ind w:left="110" w:hanging="110"/>
              <w:jc w:val="center"/>
              <w:rPr>
                <w:color w:val="000000"/>
                <w:sz w:val="22"/>
                <w:szCs w:val="22"/>
              </w:rPr>
            </w:pPr>
            <w:r>
              <w:rPr>
                <w:color w:val="000000"/>
                <w:sz w:val="22"/>
                <w:szCs w:val="22"/>
              </w:rPr>
              <w:t>项</w:t>
            </w:r>
          </w:p>
        </w:tc>
        <w:tc>
          <w:tcPr>
            <w:tcW w:w="1065" w:type="dxa"/>
            <w:tcBorders>
              <w:top w:val="single" w:color="auto" w:sz="4" w:space="0"/>
              <w:left w:val="nil"/>
              <w:bottom w:val="single" w:color="auto" w:sz="4" w:space="0"/>
              <w:right w:val="single" w:color="auto" w:sz="4" w:space="0"/>
            </w:tcBorders>
            <w:shd w:val="clear" w:color="auto" w:fill="auto"/>
            <w:noWrap/>
            <w:vAlign w:val="center"/>
          </w:tcPr>
          <w:p w14:paraId="3ADC80B3">
            <w:pPr>
              <w:ind w:left="110" w:hanging="110"/>
              <w:jc w:val="center"/>
              <w:rPr>
                <w:color w:val="000000"/>
                <w:sz w:val="22"/>
                <w:szCs w:val="22"/>
              </w:rPr>
            </w:pPr>
            <w:r>
              <w:rPr>
                <w:rFonts w:hint="eastAsia"/>
                <w:color w:val="000000"/>
                <w:sz w:val="22"/>
                <w:szCs w:val="22"/>
              </w:rPr>
              <w:t>1</w:t>
            </w:r>
          </w:p>
        </w:tc>
        <w:tc>
          <w:tcPr>
            <w:tcW w:w="1380" w:type="dxa"/>
            <w:tcBorders>
              <w:top w:val="single" w:color="auto" w:sz="4" w:space="0"/>
              <w:left w:val="nil"/>
              <w:bottom w:val="single" w:color="auto" w:sz="4" w:space="0"/>
              <w:right w:val="single" w:color="auto" w:sz="4" w:space="0"/>
            </w:tcBorders>
            <w:shd w:val="clear" w:color="auto" w:fill="auto"/>
            <w:noWrap/>
            <w:vAlign w:val="center"/>
          </w:tcPr>
          <w:p w14:paraId="3782955F">
            <w:pPr>
              <w:ind w:left="0" w:right="0" w:firstLine="0" w:firstLineChars="0"/>
              <w:jc w:val="center"/>
              <w:rPr>
                <w:rFonts w:ascii="宋体" w:hAnsi="宋体" w:cs="宋体"/>
                <w:color w:val="000000"/>
                <w:sz w:val="22"/>
                <w:szCs w:val="22"/>
              </w:rPr>
            </w:pPr>
          </w:p>
        </w:tc>
      </w:tr>
      <w:tr w14:paraId="7345287E">
        <w:tblPrEx>
          <w:tblCellMar>
            <w:top w:w="0" w:type="dxa"/>
            <w:left w:w="108" w:type="dxa"/>
            <w:bottom w:w="0" w:type="dxa"/>
            <w:right w:w="108" w:type="dxa"/>
          </w:tblCellMar>
        </w:tblPrEx>
        <w:trPr>
          <w:trHeight w:val="270" w:hRule="atLeast"/>
          <w:jc w:val="center"/>
        </w:trPr>
        <w:tc>
          <w:tcPr>
            <w:tcW w:w="97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D1DB1FA">
            <w:pPr>
              <w:ind w:left="110" w:hanging="110"/>
              <w:jc w:val="center"/>
              <w:rPr>
                <w:color w:val="000000"/>
                <w:sz w:val="22"/>
                <w:szCs w:val="22"/>
              </w:rPr>
            </w:pPr>
            <w:r>
              <w:rPr>
                <w:rFonts w:hint="eastAsia"/>
                <w:color w:val="000000"/>
                <w:sz w:val="22"/>
                <w:szCs w:val="22"/>
              </w:rPr>
              <w:t>18</w:t>
            </w:r>
          </w:p>
        </w:tc>
        <w:tc>
          <w:tcPr>
            <w:tcW w:w="1635" w:type="dxa"/>
            <w:tcBorders>
              <w:top w:val="single" w:color="auto" w:sz="4" w:space="0"/>
              <w:left w:val="nil"/>
              <w:bottom w:val="single" w:color="auto" w:sz="4" w:space="0"/>
              <w:right w:val="single" w:color="auto" w:sz="4" w:space="0"/>
            </w:tcBorders>
            <w:shd w:val="clear" w:color="auto" w:fill="auto"/>
            <w:noWrap/>
            <w:vAlign w:val="center"/>
          </w:tcPr>
          <w:p w14:paraId="3018B2F4">
            <w:pPr>
              <w:ind w:left="110" w:hanging="110"/>
              <w:jc w:val="center"/>
              <w:rPr>
                <w:color w:val="000000"/>
                <w:sz w:val="22"/>
                <w:szCs w:val="22"/>
              </w:rPr>
            </w:pPr>
            <w:r>
              <w:rPr>
                <w:rFonts w:hint="eastAsia"/>
                <w:color w:val="000000"/>
                <w:sz w:val="22"/>
                <w:szCs w:val="22"/>
              </w:rPr>
              <w:t>合计</w:t>
            </w:r>
          </w:p>
        </w:tc>
        <w:tc>
          <w:tcPr>
            <w:tcW w:w="3810" w:type="dxa"/>
            <w:tcBorders>
              <w:top w:val="single" w:color="auto" w:sz="4" w:space="0"/>
              <w:left w:val="nil"/>
              <w:bottom w:val="single" w:color="auto" w:sz="4" w:space="0"/>
              <w:right w:val="single" w:color="auto" w:sz="4" w:space="0"/>
            </w:tcBorders>
            <w:shd w:val="clear" w:color="auto" w:fill="auto"/>
            <w:noWrap/>
            <w:vAlign w:val="center"/>
          </w:tcPr>
          <w:p w14:paraId="1333858D">
            <w:pPr>
              <w:ind w:left="110" w:hanging="110"/>
              <w:rPr>
                <w:rFonts w:ascii="宋体" w:hAnsi="宋体" w:cs="宋体"/>
                <w:color w:val="000000"/>
                <w:sz w:val="22"/>
                <w:szCs w:val="22"/>
              </w:rPr>
            </w:pPr>
          </w:p>
        </w:tc>
        <w:tc>
          <w:tcPr>
            <w:tcW w:w="990" w:type="dxa"/>
            <w:tcBorders>
              <w:top w:val="single" w:color="auto" w:sz="4" w:space="0"/>
              <w:left w:val="nil"/>
              <w:bottom w:val="single" w:color="auto" w:sz="4" w:space="0"/>
              <w:right w:val="single" w:color="auto" w:sz="4" w:space="0"/>
            </w:tcBorders>
            <w:shd w:val="clear" w:color="auto" w:fill="auto"/>
            <w:noWrap/>
            <w:vAlign w:val="center"/>
          </w:tcPr>
          <w:p w14:paraId="528D18E7">
            <w:pPr>
              <w:ind w:left="110" w:hanging="110"/>
              <w:jc w:val="center"/>
              <w:rPr>
                <w:color w:val="000000"/>
                <w:sz w:val="22"/>
                <w:szCs w:val="22"/>
              </w:rPr>
            </w:pPr>
          </w:p>
        </w:tc>
        <w:tc>
          <w:tcPr>
            <w:tcW w:w="1065" w:type="dxa"/>
            <w:tcBorders>
              <w:top w:val="single" w:color="auto" w:sz="4" w:space="0"/>
              <w:left w:val="nil"/>
              <w:bottom w:val="single" w:color="auto" w:sz="4" w:space="0"/>
              <w:right w:val="single" w:color="auto" w:sz="4" w:space="0"/>
            </w:tcBorders>
            <w:shd w:val="clear" w:color="auto" w:fill="auto"/>
            <w:noWrap/>
            <w:vAlign w:val="center"/>
          </w:tcPr>
          <w:p w14:paraId="1E4D762E">
            <w:pPr>
              <w:ind w:left="110" w:hanging="110"/>
              <w:jc w:val="center"/>
              <w:rPr>
                <w:color w:val="000000"/>
                <w:sz w:val="22"/>
                <w:szCs w:val="22"/>
              </w:rPr>
            </w:pPr>
          </w:p>
        </w:tc>
        <w:tc>
          <w:tcPr>
            <w:tcW w:w="1380" w:type="dxa"/>
            <w:tcBorders>
              <w:top w:val="single" w:color="auto" w:sz="4" w:space="0"/>
              <w:left w:val="nil"/>
              <w:bottom w:val="single" w:color="auto" w:sz="4" w:space="0"/>
              <w:right w:val="single" w:color="auto" w:sz="4" w:space="0"/>
            </w:tcBorders>
            <w:shd w:val="clear" w:color="auto" w:fill="auto"/>
            <w:noWrap/>
            <w:vAlign w:val="center"/>
          </w:tcPr>
          <w:p w14:paraId="2206B84A">
            <w:pPr>
              <w:ind w:left="0" w:right="0" w:firstLine="0" w:firstLineChars="0"/>
              <w:jc w:val="center"/>
              <w:rPr>
                <w:rFonts w:ascii="宋体" w:hAnsi="宋体" w:cs="宋体"/>
                <w:color w:val="000000"/>
                <w:sz w:val="22"/>
                <w:szCs w:val="22"/>
              </w:rPr>
            </w:pPr>
          </w:p>
        </w:tc>
      </w:tr>
    </w:tbl>
    <w:p w14:paraId="0F3EE783">
      <w:pPr>
        <w:widowControl/>
        <w:ind w:left="0" w:leftChars="0" w:firstLine="0" w:firstLineChars="0"/>
        <w:jc w:val="left"/>
        <w:rPr>
          <w:rFonts w:ascii="宋体" w:hAnsi="宋体"/>
          <w:sz w:val="24"/>
        </w:rPr>
      </w:pPr>
      <w:r>
        <w:rPr>
          <w:rFonts w:ascii="宋体" w:hAnsi="宋体"/>
          <w:sz w:val="24"/>
        </w:rPr>
        <w:t>附图纸文件</w:t>
      </w:r>
    </w:p>
    <w:sectPr>
      <w:headerReference r:id="rId7" w:type="first"/>
      <w:footerReference r:id="rId10" w:type="first"/>
      <w:headerReference r:id="rId5" w:type="default"/>
      <w:footerReference r:id="rId8" w:type="default"/>
      <w:headerReference r:id="rId6" w:type="even"/>
      <w:footerReference r:id="rId9" w:type="even"/>
      <w:pgSz w:w="11906" w:h="16838"/>
      <w:pgMar w:top="1134" w:right="737" w:bottom="1134" w:left="851"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hanging="105"/>
      </w:pPr>
      <w:r>
        <w:separator/>
      </w:r>
    </w:p>
  </w:endnote>
  <w:endnote w:type="continuationSeparator" w:id="1">
    <w:p>
      <w:pPr>
        <w:spacing w:line="240" w:lineRule="auto"/>
        <w:ind w:hanging="105"/>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990752">
    <w:pPr>
      <w:pStyle w:val="5"/>
      <w:ind w:left="0" w:firstLine="0" w:firstLineChars="0"/>
      <w:rPr>
        <w:u w:val="single"/>
      </w:rPr>
    </w:pPr>
    <w:r>
      <w:rPr>
        <w:sz w:val="21"/>
      </w:rPr>
      <w:pict>
        <v:shape id="文本框 1025"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M6pebnPAAAABQEAAA8AAAAAAAAAAQAgAAAAIgAAAGRycy9kb3du&#10;cmV2LnhtbFBLAQIUABQAAAAIAIdO4kDZoPcHzwEAAKoDAAAOAAAAAAAAAAEAIAAAAB4BAABkcnMv&#10;ZTJvRG9jLnhtbFBLBQYAAAAABgAGAFkBAABfBQAAAAA=&#10;">
          <v:path/>
          <v:fill on="f" focussize="0,0"/>
          <v:stroke on="f" joinstyle="miter"/>
          <v:imagedata o:title=""/>
          <o:lock v:ext="edit"/>
          <v:textbox inset="0mm,0mm,0mm,0mm" style="mso-fit-shape-to-text:t;">
            <w:txbxContent>
              <w:p w14:paraId="7F6E74B6">
                <w:pPr>
                  <w:pStyle w:val="5"/>
                  <w:ind w:left="90" w:hanging="90"/>
                </w:pPr>
                <w:r>
                  <w:fldChar w:fldCharType="begin"/>
                </w:r>
                <w:r>
                  <w:instrText xml:space="preserve"> PAGE  \* MERGEFORMAT </w:instrText>
                </w:r>
                <w:r>
                  <w:fldChar w:fldCharType="separate"/>
                </w:r>
                <w:r>
                  <w:t>5</w:t>
                </w:r>
                <w:r>
                  <w:fldChar w:fldCharType="end"/>
                </w:r>
              </w:p>
            </w:txbxContent>
          </v:textbox>
        </v:shape>
      </w:pict>
    </w:r>
    <w:r>
      <w:rPr>
        <w:rFonts w:hint="eastAsia"/>
        <w:sz w:val="21"/>
        <w:szCs w:val="21"/>
      </w:rPr>
      <w:t xml:space="preserve">                     </w:t>
    </w:r>
  </w:p>
  <w:p w14:paraId="400BD219">
    <w:pPr>
      <w:pStyle w:val="5"/>
      <w:ind w:left="105" w:hanging="105"/>
      <w:rPr>
        <w:u w:val="single"/>
      </w:rPr>
    </w:pPr>
    <w:r>
      <w:rPr>
        <w:rFonts w:hint="eastAsia"/>
        <w:sz w:val="21"/>
        <w:szCs w:val="21"/>
      </w:rPr>
      <w:t xml:space="preserve">      </w:t>
    </w:r>
    <w:r>
      <w:rPr>
        <w:rFonts w:hint="eastAsia"/>
        <w:sz w:val="24"/>
        <w:szCs w:val="24"/>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7CA2C6">
    <w:pPr>
      <w:pStyle w:val="5"/>
      <w:ind w:left="90" w:hanging="9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5C1D0F">
    <w:pPr>
      <w:pStyle w:val="5"/>
      <w:ind w:left="90" w:hanging="9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hanging="105"/>
      </w:pPr>
      <w:r>
        <w:separator/>
      </w:r>
    </w:p>
  </w:footnote>
  <w:footnote w:type="continuationSeparator" w:id="1">
    <w:p>
      <w:pPr>
        <w:spacing w:line="360" w:lineRule="auto"/>
        <w:ind w:hanging="105"/>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51CABB">
    <w:pPr>
      <w:pStyle w:val="6"/>
      <w:ind w:left="90" w:hanging="9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AF3EC1">
    <w:pPr>
      <w:pStyle w:val="6"/>
      <w:ind w:left="90" w:hanging="9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AD29C7">
    <w:pPr>
      <w:pStyle w:val="6"/>
      <w:ind w:left="90" w:hanging="9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B21B09B"/>
    <w:multiLevelType w:val="singleLevel"/>
    <w:tmpl w:val="8B21B09B"/>
    <w:lvl w:ilvl="0" w:tentative="0">
      <w:start w:val="1"/>
      <w:numFmt w:val="decimal"/>
      <w:lvlText w:val="%1."/>
      <w:lvlJc w:val="left"/>
      <w:pPr>
        <w:ind w:left="425" w:hanging="425"/>
      </w:pPr>
      <w:rPr>
        <w:rFonts w:hint="default"/>
      </w:rPr>
    </w:lvl>
  </w:abstractNum>
  <w:abstractNum w:abstractNumId="1">
    <w:nsid w:val="DDA35175"/>
    <w:multiLevelType w:val="singleLevel"/>
    <w:tmpl w:val="DDA35175"/>
    <w:lvl w:ilvl="0" w:tentative="0">
      <w:start w:val="1"/>
      <w:numFmt w:val="decimal"/>
      <w:lvlText w:val="%1."/>
      <w:lvlJc w:val="left"/>
      <w:pPr>
        <w:ind w:left="425" w:hanging="425"/>
      </w:pPr>
      <w:rPr>
        <w:rFonts w:hint="default"/>
      </w:rPr>
    </w:lvl>
  </w:abstractNum>
  <w:abstractNum w:abstractNumId="2">
    <w:nsid w:val="057DC5CD"/>
    <w:multiLevelType w:val="singleLevel"/>
    <w:tmpl w:val="057DC5CD"/>
    <w:lvl w:ilvl="0" w:tentative="0">
      <w:start w:val="1"/>
      <w:numFmt w:val="decimalEnclosedCircleChinese"/>
      <w:suff w:val="nothing"/>
      <w:lvlText w:val="%1　"/>
      <w:lvlJc w:val="left"/>
      <w:pPr>
        <w:ind w:left="0" w:firstLine="0"/>
      </w:pPr>
      <w:rPr>
        <w:rFonts w:hint="eastAsia"/>
      </w:rPr>
    </w:lvl>
  </w:abstractNum>
  <w:abstractNum w:abstractNumId="3">
    <w:nsid w:val="067A034C"/>
    <w:multiLevelType w:val="singleLevel"/>
    <w:tmpl w:val="067A034C"/>
    <w:lvl w:ilvl="0" w:tentative="0">
      <w:start w:val="1"/>
      <w:numFmt w:val="decimalEnclosedCircleChinese"/>
      <w:suff w:val="nothing"/>
      <w:lvlText w:val="%1　"/>
      <w:lvlJc w:val="left"/>
      <w:pPr>
        <w:ind w:left="0" w:firstLine="0"/>
      </w:pPr>
      <w:rPr>
        <w:rFonts w:hint="eastAsia"/>
      </w:rPr>
    </w:lvl>
  </w:abstractNum>
  <w:abstractNum w:abstractNumId="4">
    <w:nsid w:val="557FCCA3"/>
    <w:multiLevelType w:val="singleLevel"/>
    <w:tmpl w:val="557FCCA3"/>
    <w:lvl w:ilvl="0" w:tentative="0">
      <w:start w:val="1"/>
      <w:numFmt w:val="chineseCounting"/>
      <w:suff w:val="nothing"/>
      <w:lvlText w:val="%1、"/>
      <w:lvlJc w:val="left"/>
      <w:pPr>
        <w:ind w:left="0" w:firstLine="0"/>
      </w:pPr>
      <w:rPr>
        <w:rFonts w:hint="eastAsia"/>
      </w:rPr>
    </w:lvl>
  </w:abstractNum>
  <w:abstractNum w:abstractNumId="5">
    <w:nsid w:val="59A83533"/>
    <w:multiLevelType w:val="singleLevel"/>
    <w:tmpl w:val="59A83533"/>
    <w:lvl w:ilvl="0" w:tentative="0">
      <w:start w:val="1"/>
      <w:numFmt w:val="decimal"/>
      <w:lvlText w:val="%1."/>
      <w:lvlJc w:val="left"/>
      <w:pPr>
        <w:ind w:left="425" w:hanging="425"/>
      </w:pPr>
      <w:rPr>
        <w:rFonts w:hint="default"/>
      </w:rPr>
    </w:lvl>
  </w:abstractNum>
  <w:abstractNum w:abstractNumId="6">
    <w:nsid w:val="5B15F89A"/>
    <w:multiLevelType w:val="singleLevel"/>
    <w:tmpl w:val="5B15F89A"/>
    <w:lvl w:ilvl="0" w:tentative="0">
      <w:start w:val="1"/>
      <w:numFmt w:val="decimal"/>
      <w:lvlText w:val="%1."/>
      <w:lvlJc w:val="left"/>
      <w:pPr>
        <w:ind w:left="425" w:hanging="425"/>
      </w:pPr>
      <w:rPr>
        <w:rFonts w:hint="default"/>
      </w:rPr>
    </w:lvl>
  </w:abstractNum>
  <w:num w:numId="1">
    <w:abstractNumId w:val="4"/>
  </w:num>
  <w:num w:numId="2">
    <w:abstractNumId w:val="6"/>
  </w:num>
  <w:num w:numId="3">
    <w:abstractNumId w:val="3"/>
  </w:num>
  <w:num w:numId="4">
    <w:abstractNumId w:val="5"/>
  </w:num>
  <w:num w:numId="5">
    <w:abstractNumId w:val="0"/>
  </w:num>
  <w:num w:numId="6">
    <w:abstractNumId w:val="2"/>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HorizontalSpacing w:val="105"/>
  <w:drawingGridVerticalSpacing w:val="156"/>
  <w:noPunctuationKerning w:val="1"/>
  <w:characterSpacingControl w:val="compressPunctuation"/>
  <w:hdrShapeDefaults>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GU0ZjcwNWI1YmYzYTFmZmQyMGIwMjA4NmE2OGRjNzgifQ=="/>
  </w:docVars>
  <w:rsids>
    <w:rsidRoot w:val="00837F93"/>
    <w:rsid w:val="00001BC4"/>
    <w:rsid w:val="00010376"/>
    <w:rsid w:val="000212F3"/>
    <w:rsid w:val="00036839"/>
    <w:rsid w:val="0004076E"/>
    <w:rsid w:val="00042B0C"/>
    <w:rsid w:val="00044531"/>
    <w:rsid w:val="00047B6D"/>
    <w:rsid w:val="00060993"/>
    <w:rsid w:val="00061BAF"/>
    <w:rsid w:val="00065CB5"/>
    <w:rsid w:val="0006729A"/>
    <w:rsid w:val="00081EA9"/>
    <w:rsid w:val="000852A5"/>
    <w:rsid w:val="000972A5"/>
    <w:rsid w:val="000A10D4"/>
    <w:rsid w:val="000A596F"/>
    <w:rsid w:val="000B21DF"/>
    <w:rsid w:val="000B37A4"/>
    <w:rsid w:val="000B7B77"/>
    <w:rsid w:val="000C2B41"/>
    <w:rsid w:val="000C3466"/>
    <w:rsid w:val="000D2410"/>
    <w:rsid w:val="000D76FC"/>
    <w:rsid w:val="000E0EF0"/>
    <w:rsid w:val="000F4D1D"/>
    <w:rsid w:val="000F63C4"/>
    <w:rsid w:val="00102CDC"/>
    <w:rsid w:val="00111779"/>
    <w:rsid w:val="001222BB"/>
    <w:rsid w:val="00130943"/>
    <w:rsid w:val="001319D2"/>
    <w:rsid w:val="00137A42"/>
    <w:rsid w:val="00144F38"/>
    <w:rsid w:val="0015482F"/>
    <w:rsid w:val="001554EB"/>
    <w:rsid w:val="001667DB"/>
    <w:rsid w:val="001721FD"/>
    <w:rsid w:val="001878CB"/>
    <w:rsid w:val="001C03C5"/>
    <w:rsid w:val="001D478E"/>
    <w:rsid w:val="001D6D87"/>
    <w:rsid w:val="001E4FEA"/>
    <w:rsid w:val="00204779"/>
    <w:rsid w:val="0021073A"/>
    <w:rsid w:val="00212214"/>
    <w:rsid w:val="00213769"/>
    <w:rsid w:val="00222D3F"/>
    <w:rsid w:val="00224AD4"/>
    <w:rsid w:val="002349C6"/>
    <w:rsid w:val="0024445A"/>
    <w:rsid w:val="002446C8"/>
    <w:rsid w:val="00244D3F"/>
    <w:rsid w:val="00252F1B"/>
    <w:rsid w:val="00252F64"/>
    <w:rsid w:val="00253DD8"/>
    <w:rsid w:val="00255FBA"/>
    <w:rsid w:val="00264371"/>
    <w:rsid w:val="00273299"/>
    <w:rsid w:val="00273C15"/>
    <w:rsid w:val="00282FFA"/>
    <w:rsid w:val="00296E48"/>
    <w:rsid w:val="00297365"/>
    <w:rsid w:val="002A0644"/>
    <w:rsid w:val="002A1F7F"/>
    <w:rsid w:val="002A46F8"/>
    <w:rsid w:val="002A7180"/>
    <w:rsid w:val="002B1D67"/>
    <w:rsid w:val="002B2784"/>
    <w:rsid w:val="002B6D4F"/>
    <w:rsid w:val="002C3D75"/>
    <w:rsid w:val="002C5F5B"/>
    <w:rsid w:val="002D78F5"/>
    <w:rsid w:val="002E22E2"/>
    <w:rsid w:val="002F0345"/>
    <w:rsid w:val="002F1825"/>
    <w:rsid w:val="002F252A"/>
    <w:rsid w:val="002F4427"/>
    <w:rsid w:val="0031117E"/>
    <w:rsid w:val="00314082"/>
    <w:rsid w:val="00315523"/>
    <w:rsid w:val="00322FF2"/>
    <w:rsid w:val="00334A34"/>
    <w:rsid w:val="003550F8"/>
    <w:rsid w:val="003557F8"/>
    <w:rsid w:val="00365E9A"/>
    <w:rsid w:val="00367092"/>
    <w:rsid w:val="00370F3D"/>
    <w:rsid w:val="0037216D"/>
    <w:rsid w:val="0037232C"/>
    <w:rsid w:val="00376E67"/>
    <w:rsid w:val="00386015"/>
    <w:rsid w:val="003A03CB"/>
    <w:rsid w:val="003B237F"/>
    <w:rsid w:val="003C0E02"/>
    <w:rsid w:val="003C5343"/>
    <w:rsid w:val="003D29BA"/>
    <w:rsid w:val="003D78D9"/>
    <w:rsid w:val="003E3B0F"/>
    <w:rsid w:val="003E73FF"/>
    <w:rsid w:val="003F27DE"/>
    <w:rsid w:val="003F7AF3"/>
    <w:rsid w:val="00406530"/>
    <w:rsid w:val="004072AC"/>
    <w:rsid w:val="004129C9"/>
    <w:rsid w:val="0041652A"/>
    <w:rsid w:val="00417E4B"/>
    <w:rsid w:val="004202AF"/>
    <w:rsid w:val="004215BC"/>
    <w:rsid w:val="004470CF"/>
    <w:rsid w:val="00454E7C"/>
    <w:rsid w:val="00455230"/>
    <w:rsid w:val="004554F4"/>
    <w:rsid w:val="00455BA1"/>
    <w:rsid w:val="00457F07"/>
    <w:rsid w:val="004608E4"/>
    <w:rsid w:val="00461A79"/>
    <w:rsid w:val="004634CF"/>
    <w:rsid w:val="00471C65"/>
    <w:rsid w:val="004742EC"/>
    <w:rsid w:val="0048127B"/>
    <w:rsid w:val="00481C77"/>
    <w:rsid w:val="00492266"/>
    <w:rsid w:val="004A0819"/>
    <w:rsid w:val="004A20F8"/>
    <w:rsid w:val="004A4E2B"/>
    <w:rsid w:val="004A791A"/>
    <w:rsid w:val="004B49B9"/>
    <w:rsid w:val="004B5F2D"/>
    <w:rsid w:val="004B60C0"/>
    <w:rsid w:val="004B7012"/>
    <w:rsid w:val="004C38B8"/>
    <w:rsid w:val="004D00E7"/>
    <w:rsid w:val="004D24FE"/>
    <w:rsid w:val="004E338C"/>
    <w:rsid w:val="004F0E81"/>
    <w:rsid w:val="005005EA"/>
    <w:rsid w:val="0050089D"/>
    <w:rsid w:val="00500A63"/>
    <w:rsid w:val="00511540"/>
    <w:rsid w:val="00522BBD"/>
    <w:rsid w:val="00523F5F"/>
    <w:rsid w:val="00530926"/>
    <w:rsid w:val="005344D0"/>
    <w:rsid w:val="00541C53"/>
    <w:rsid w:val="005776A5"/>
    <w:rsid w:val="00584AEA"/>
    <w:rsid w:val="00594161"/>
    <w:rsid w:val="005953CD"/>
    <w:rsid w:val="005B7242"/>
    <w:rsid w:val="005C2260"/>
    <w:rsid w:val="005C3800"/>
    <w:rsid w:val="005C3CCB"/>
    <w:rsid w:val="005C431D"/>
    <w:rsid w:val="005C5129"/>
    <w:rsid w:val="005C5E8F"/>
    <w:rsid w:val="005C6AFD"/>
    <w:rsid w:val="005D34FB"/>
    <w:rsid w:val="005E6B92"/>
    <w:rsid w:val="00613771"/>
    <w:rsid w:val="006222E9"/>
    <w:rsid w:val="0062759B"/>
    <w:rsid w:val="0063269E"/>
    <w:rsid w:val="00642E8E"/>
    <w:rsid w:val="006617AF"/>
    <w:rsid w:val="006912A5"/>
    <w:rsid w:val="006B03BB"/>
    <w:rsid w:val="006B4436"/>
    <w:rsid w:val="006C050B"/>
    <w:rsid w:val="006D3343"/>
    <w:rsid w:val="006F0B84"/>
    <w:rsid w:val="006F39B2"/>
    <w:rsid w:val="00701A27"/>
    <w:rsid w:val="00710CD3"/>
    <w:rsid w:val="00724F16"/>
    <w:rsid w:val="00732DF0"/>
    <w:rsid w:val="00733974"/>
    <w:rsid w:val="00736536"/>
    <w:rsid w:val="007378E3"/>
    <w:rsid w:val="00740423"/>
    <w:rsid w:val="00746AC2"/>
    <w:rsid w:val="00747D25"/>
    <w:rsid w:val="00770AA0"/>
    <w:rsid w:val="007779A9"/>
    <w:rsid w:val="007840B5"/>
    <w:rsid w:val="00786BAF"/>
    <w:rsid w:val="00790A8C"/>
    <w:rsid w:val="00795C37"/>
    <w:rsid w:val="0079631B"/>
    <w:rsid w:val="007A06E1"/>
    <w:rsid w:val="007A17F3"/>
    <w:rsid w:val="007A23ED"/>
    <w:rsid w:val="007A2642"/>
    <w:rsid w:val="007A5827"/>
    <w:rsid w:val="007A74C5"/>
    <w:rsid w:val="007B3666"/>
    <w:rsid w:val="007B391C"/>
    <w:rsid w:val="007B70A3"/>
    <w:rsid w:val="007B7EC9"/>
    <w:rsid w:val="007D0B57"/>
    <w:rsid w:val="007F3523"/>
    <w:rsid w:val="007F59E2"/>
    <w:rsid w:val="007F5B6B"/>
    <w:rsid w:val="007F6AB3"/>
    <w:rsid w:val="008016E2"/>
    <w:rsid w:val="0080439B"/>
    <w:rsid w:val="00805268"/>
    <w:rsid w:val="00810292"/>
    <w:rsid w:val="008308BE"/>
    <w:rsid w:val="0083164F"/>
    <w:rsid w:val="0083485B"/>
    <w:rsid w:val="008348A1"/>
    <w:rsid w:val="00837F93"/>
    <w:rsid w:val="00841816"/>
    <w:rsid w:val="00843650"/>
    <w:rsid w:val="00873511"/>
    <w:rsid w:val="008812AF"/>
    <w:rsid w:val="00882B50"/>
    <w:rsid w:val="0089106B"/>
    <w:rsid w:val="00895635"/>
    <w:rsid w:val="00895AE8"/>
    <w:rsid w:val="008A3EEF"/>
    <w:rsid w:val="008B7F0C"/>
    <w:rsid w:val="008C0C72"/>
    <w:rsid w:val="008C2F90"/>
    <w:rsid w:val="008D13D2"/>
    <w:rsid w:val="008D18B6"/>
    <w:rsid w:val="008D5297"/>
    <w:rsid w:val="008D6563"/>
    <w:rsid w:val="008E5D8A"/>
    <w:rsid w:val="008E6687"/>
    <w:rsid w:val="008E7B55"/>
    <w:rsid w:val="008F73E5"/>
    <w:rsid w:val="008F7711"/>
    <w:rsid w:val="00903B08"/>
    <w:rsid w:val="00906611"/>
    <w:rsid w:val="00906A05"/>
    <w:rsid w:val="00912AF6"/>
    <w:rsid w:val="00913C28"/>
    <w:rsid w:val="00917240"/>
    <w:rsid w:val="0092129E"/>
    <w:rsid w:val="0092617C"/>
    <w:rsid w:val="00947770"/>
    <w:rsid w:val="00965D6B"/>
    <w:rsid w:val="00970414"/>
    <w:rsid w:val="0097495B"/>
    <w:rsid w:val="009804E3"/>
    <w:rsid w:val="009816EC"/>
    <w:rsid w:val="00992890"/>
    <w:rsid w:val="00993F88"/>
    <w:rsid w:val="009A7883"/>
    <w:rsid w:val="009B0CFD"/>
    <w:rsid w:val="009B2078"/>
    <w:rsid w:val="009D7971"/>
    <w:rsid w:val="009E02D1"/>
    <w:rsid w:val="009E088B"/>
    <w:rsid w:val="009E1696"/>
    <w:rsid w:val="009E28E7"/>
    <w:rsid w:val="009E3BAA"/>
    <w:rsid w:val="009F6569"/>
    <w:rsid w:val="00A00F6C"/>
    <w:rsid w:val="00A01980"/>
    <w:rsid w:val="00A062B2"/>
    <w:rsid w:val="00A065D6"/>
    <w:rsid w:val="00A12526"/>
    <w:rsid w:val="00A15C70"/>
    <w:rsid w:val="00A27B4D"/>
    <w:rsid w:val="00A33C39"/>
    <w:rsid w:val="00A44549"/>
    <w:rsid w:val="00A44B2B"/>
    <w:rsid w:val="00A508FE"/>
    <w:rsid w:val="00A5507E"/>
    <w:rsid w:val="00A578C5"/>
    <w:rsid w:val="00A633E6"/>
    <w:rsid w:val="00A63FEC"/>
    <w:rsid w:val="00A65234"/>
    <w:rsid w:val="00A72398"/>
    <w:rsid w:val="00A770F2"/>
    <w:rsid w:val="00A83DCD"/>
    <w:rsid w:val="00A86626"/>
    <w:rsid w:val="00A9027F"/>
    <w:rsid w:val="00A91500"/>
    <w:rsid w:val="00AA676B"/>
    <w:rsid w:val="00AA6A69"/>
    <w:rsid w:val="00AB0845"/>
    <w:rsid w:val="00AC7B50"/>
    <w:rsid w:val="00AC7BB1"/>
    <w:rsid w:val="00AD17E0"/>
    <w:rsid w:val="00AD26E8"/>
    <w:rsid w:val="00AE1F5F"/>
    <w:rsid w:val="00AE352C"/>
    <w:rsid w:val="00AF1AFC"/>
    <w:rsid w:val="00B03E35"/>
    <w:rsid w:val="00B05EB9"/>
    <w:rsid w:val="00B06AB3"/>
    <w:rsid w:val="00B1237F"/>
    <w:rsid w:val="00B12A50"/>
    <w:rsid w:val="00B24E7D"/>
    <w:rsid w:val="00B27B34"/>
    <w:rsid w:val="00B3582A"/>
    <w:rsid w:val="00B44CBA"/>
    <w:rsid w:val="00B51929"/>
    <w:rsid w:val="00B5337D"/>
    <w:rsid w:val="00B53611"/>
    <w:rsid w:val="00B5565C"/>
    <w:rsid w:val="00B65270"/>
    <w:rsid w:val="00B7280D"/>
    <w:rsid w:val="00B74B18"/>
    <w:rsid w:val="00B77DBB"/>
    <w:rsid w:val="00B94915"/>
    <w:rsid w:val="00B9660B"/>
    <w:rsid w:val="00BA28F7"/>
    <w:rsid w:val="00BA7EF4"/>
    <w:rsid w:val="00BB1C5E"/>
    <w:rsid w:val="00BB2F53"/>
    <w:rsid w:val="00BC48AA"/>
    <w:rsid w:val="00BC72C2"/>
    <w:rsid w:val="00BD4260"/>
    <w:rsid w:val="00BD5041"/>
    <w:rsid w:val="00BD7B41"/>
    <w:rsid w:val="00BE4855"/>
    <w:rsid w:val="00C0676A"/>
    <w:rsid w:val="00C07A82"/>
    <w:rsid w:val="00C11A3B"/>
    <w:rsid w:val="00C139FD"/>
    <w:rsid w:val="00C21B53"/>
    <w:rsid w:val="00C22F24"/>
    <w:rsid w:val="00C3071B"/>
    <w:rsid w:val="00C340D5"/>
    <w:rsid w:val="00C408EA"/>
    <w:rsid w:val="00C471BC"/>
    <w:rsid w:val="00C47CD4"/>
    <w:rsid w:val="00C50157"/>
    <w:rsid w:val="00C52A34"/>
    <w:rsid w:val="00C5437A"/>
    <w:rsid w:val="00C67026"/>
    <w:rsid w:val="00C67B86"/>
    <w:rsid w:val="00C70E93"/>
    <w:rsid w:val="00C90EC6"/>
    <w:rsid w:val="00CA1CC4"/>
    <w:rsid w:val="00CD110C"/>
    <w:rsid w:val="00CD350D"/>
    <w:rsid w:val="00CE7362"/>
    <w:rsid w:val="00CE7F78"/>
    <w:rsid w:val="00CF040C"/>
    <w:rsid w:val="00CF6A28"/>
    <w:rsid w:val="00CF6E12"/>
    <w:rsid w:val="00D15475"/>
    <w:rsid w:val="00D20B2B"/>
    <w:rsid w:val="00D2208F"/>
    <w:rsid w:val="00D239E3"/>
    <w:rsid w:val="00D459CB"/>
    <w:rsid w:val="00D56734"/>
    <w:rsid w:val="00D61B3D"/>
    <w:rsid w:val="00D63734"/>
    <w:rsid w:val="00D664FF"/>
    <w:rsid w:val="00D70F15"/>
    <w:rsid w:val="00D7191E"/>
    <w:rsid w:val="00D73BBA"/>
    <w:rsid w:val="00D834B0"/>
    <w:rsid w:val="00D85C9E"/>
    <w:rsid w:val="00D90C68"/>
    <w:rsid w:val="00D93FAB"/>
    <w:rsid w:val="00DC754D"/>
    <w:rsid w:val="00DE3700"/>
    <w:rsid w:val="00DE421A"/>
    <w:rsid w:val="00DE47C4"/>
    <w:rsid w:val="00DF51B9"/>
    <w:rsid w:val="00DF7572"/>
    <w:rsid w:val="00E20725"/>
    <w:rsid w:val="00E226BE"/>
    <w:rsid w:val="00E53578"/>
    <w:rsid w:val="00E535A6"/>
    <w:rsid w:val="00E61B06"/>
    <w:rsid w:val="00E64320"/>
    <w:rsid w:val="00E67B3F"/>
    <w:rsid w:val="00E67D0B"/>
    <w:rsid w:val="00E70CB0"/>
    <w:rsid w:val="00E86F00"/>
    <w:rsid w:val="00E96D82"/>
    <w:rsid w:val="00EA3C67"/>
    <w:rsid w:val="00EB3888"/>
    <w:rsid w:val="00EB7424"/>
    <w:rsid w:val="00EC24DD"/>
    <w:rsid w:val="00ED02C2"/>
    <w:rsid w:val="00EF19F1"/>
    <w:rsid w:val="00F0016B"/>
    <w:rsid w:val="00F041B8"/>
    <w:rsid w:val="00F378C4"/>
    <w:rsid w:val="00F401EE"/>
    <w:rsid w:val="00F40854"/>
    <w:rsid w:val="00F56E71"/>
    <w:rsid w:val="00F572FC"/>
    <w:rsid w:val="00F61485"/>
    <w:rsid w:val="00F64566"/>
    <w:rsid w:val="00F6482B"/>
    <w:rsid w:val="00F6614E"/>
    <w:rsid w:val="00F67936"/>
    <w:rsid w:val="00F73D78"/>
    <w:rsid w:val="00F75F18"/>
    <w:rsid w:val="00F80298"/>
    <w:rsid w:val="00F80927"/>
    <w:rsid w:val="00F83ED9"/>
    <w:rsid w:val="00F84862"/>
    <w:rsid w:val="00F869FF"/>
    <w:rsid w:val="00FB4CB2"/>
    <w:rsid w:val="00FF2321"/>
    <w:rsid w:val="00FF2B97"/>
    <w:rsid w:val="01415BE7"/>
    <w:rsid w:val="01463D96"/>
    <w:rsid w:val="01D67299"/>
    <w:rsid w:val="024271C3"/>
    <w:rsid w:val="0249368E"/>
    <w:rsid w:val="02BF0C2A"/>
    <w:rsid w:val="02CD54BB"/>
    <w:rsid w:val="02DF118D"/>
    <w:rsid w:val="03085600"/>
    <w:rsid w:val="035D4923"/>
    <w:rsid w:val="03825729"/>
    <w:rsid w:val="03D34DDA"/>
    <w:rsid w:val="04145B2A"/>
    <w:rsid w:val="04282F18"/>
    <w:rsid w:val="046A42E1"/>
    <w:rsid w:val="04B049B1"/>
    <w:rsid w:val="04B84389"/>
    <w:rsid w:val="04BD6E3B"/>
    <w:rsid w:val="04BE0E60"/>
    <w:rsid w:val="056C79C8"/>
    <w:rsid w:val="05787055"/>
    <w:rsid w:val="06164455"/>
    <w:rsid w:val="06665A61"/>
    <w:rsid w:val="067111E6"/>
    <w:rsid w:val="06C461D5"/>
    <w:rsid w:val="06D31065"/>
    <w:rsid w:val="07183320"/>
    <w:rsid w:val="07687C11"/>
    <w:rsid w:val="078B7511"/>
    <w:rsid w:val="07E16F78"/>
    <w:rsid w:val="08094612"/>
    <w:rsid w:val="090F0687"/>
    <w:rsid w:val="09600B40"/>
    <w:rsid w:val="09DE1880"/>
    <w:rsid w:val="09E06106"/>
    <w:rsid w:val="09E54358"/>
    <w:rsid w:val="0A0A5E29"/>
    <w:rsid w:val="0A532C6B"/>
    <w:rsid w:val="0AEF5C8E"/>
    <w:rsid w:val="0B48560E"/>
    <w:rsid w:val="0BA75779"/>
    <w:rsid w:val="0BC16C0A"/>
    <w:rsid w:val="0BCA6F88"/>
    <w:rsid w:val="0C195572"/>
    <w:rsid w:val="0C4F778A"/>
    <w:rsid w:val="0C5E1832"/>
    <w:rsid w:val="0CA064AC"/>
    <w:rsid w:val="0CDE7EB7"/>
    <w:rsid w:val="0CFB69A3"/>
    <w:rsid w:val="0D25685F"/>
    <w:rsid w:val="0DFE6BA8"/>
    <w:rsid w:val="0E0310C5"/>
    <w:rsid w:val="0E061F9B"/>
    <w:rsid w:val="0E0978CD"/>
    <w:rsid w:val="0E0A11EE"/>
    <w:rsid w:val="0E4A4D21"/>
    <w:rsid w:val="0E8E673C"/>
    <w:rsid w:val="0EA10ACD"/>
    <w:rsid w:val="0EC72F04"/>
    <w:rsid w:val="0EFA2C86"/>
    <w:rsid w:val="0F323A58"/>
    <w:rsid w:val="0FA769E0"/>
    <w:rsid w:val="107908C6"/>
    <w:rsid w:val="10CA2372"/>
    <w:rsid w:val="11246232"/>
    <w:rsid w:val="11595BA1"/>
    <w:rsid w:val="118C62B1"/>
    <w:rsid w:val="11BA111C"/>
    <w:rsid w:val="11BC5F87"/>
    <w:rsid w:val="11E53EC0"/>
    <w:rsid w:val="11EB73E9"/>
    <w:rsid w:val="12395D24"/>
    <w:rsid w:val="123D47D9"/>
    <w:rsid w:val="12B5085C"/>
    <w:rsid w:val="12D0788F"/>
    <w:rsid w:val="13E403C2"/>
    <w:rsid w:val="13E759BC"/>
    <w:rsid w:val="140C33F4"/>
    <w:rsid w:val="144952E4"/>
    <w:rsid w:val="14673988"/>
    <w:rsid w:val="146855F8"/>
    <w:rsid w:val="146D1CD5"/>
    <w:rsid w:val="146F5878"/>
    <w:rsid w:val="147B487F"/>
    <w:rsid w:val="15725F1F"/>
    <w:rsid w:val="157B554C"/>
    <w:rsid w:val="1631622D"/>
    <w:rsid w:val="163703B0"/>
    <w:rsid w:val="164C3C33"/>
    <w:rsid w:val="164C61B1"/>
    <w:rsid w:val="16790488"/>
    <w:rsid w:val="169E13F6"/>
    <w:rsid w:val="172D534A"/>
    <w:rsid w:val="175C1E09"/>
    <w:rsid w:val="177350E4"/>
    <w:rsid w:val="17AB2A79"/>
    <w:rsid w:val="17D578D2"/>
    <w:rsid w:val="18025ABD"/>
    <w:rsid w:val="184A0C30"/>
    <w:rsid w:val="187F1DAC"/>
    <w:rsid w:val="18B16E48"/>
    <w:rsid w:val="19161E54"/>
    <w:rsid w:val="196A05B8"/>
    <w:rsid w:val="197F5611"/>
    <w:rsid w:val="19F00F6B"/>
    <w:rsid w:val="1A9C1D11"/>
    <w:rsid w:val="1BFA1091"/>
    <w:rsid w:val="1C2F1CF0"/>
    <w:rsid w:val="1C8B682A"/>
    <w:rsid w:val="1CAC6588"/>
    <w:rsid w:val="1CC36A6A"/>
    <w:rsid w:val="1CCA7DF9"/>
    <w:rsid w:val="1CF73251"/>
    <w:rsid w:val="1DFA398C"/>
    <w:rsid w:val="1E1931C1"/>
    <w:rsid w:val="1E1F4C05"/>
    <w:rsid w:val="1E501DD4"/>
    <w:rsid w:val="1E795232"/>
    <w:rsid w:val="1F4D7F1D"/>
    <w:rsid w:val="1F4F3180"/>
    <w:rsid w:val="20F15ECB"/>
    <w:rsid w:val="20F72B01"/>
    <w:rsid w:val="21884621"/>
    <w:rsid w:val="218D3410"/>
    <w:rsid w:val="225813FB"/>
    <w:rsid w:val="22913819"/>
    <w:rsid w:val="22C64D28"/>
    <w:rsid w:val="22E91DC0"/>
    <w:rsid w:val="22F31066"/>
    <w:rsid w:val="232E3A9D"/>
    <w:rsid w:val="23501911"/>
    <w:rsid w:val="23605994"/>
    <w:rsid w:val="24582316"/>
    <w:rsid w:val="24EB1B84"/>
    <w:rsid w:val="24F93EC5"/>
    <w:rsid w:val="255462B7"/>
    <w:rsid w:val="259F1096"/>
    <w:rsid w:val="25F71108"/>
    <w:rsid w:val="260010D2"/>
    <w:rsid w:val="261B297B"/>
    <w:rsid w:val="26D02AD7"/>
    <w:rsid w:val="26F267B6"/>
    <w:rsid w:val="273705C4"/>
    <w:rsid w:val="27546F46"/>
    <w:rsid w:val="2784586F"/>
    <w:rsid w:val="27C75304"/>
    <w:rsid w:val="27D44264"/>
    <w:rsid w:val="27F107C0"/>
    <w:rsid w:val="28142B0D"/>
    <w:rsid w:val="28736205"/>
    <w:rsid w:val="28972AE4"/>
    <w:rsid w:val="28FA0572"/>
    <w:rsid w:val="29CE304C"/>
    <w:rsid w:val="2A247B1B"/>
    <w:rsid w:val="2A95369F"/>
    <w:rsid w:val="2AFE0A87"/>
    <w:rsid w:val="2B7B24CD"/>
    <w:rsid w:val="2C15586B"/>
    <w:rsid w:val="2C5F6588"/>
    <w:rsid w:val="2CA15128"/>
    <w:rsid w:val="2DA5162E"/>
    <w:rsid w:val="2DF83B99"/>
    <w:rsid w:val="2E670229"/>
    <w:rsid w:val="2F1C5113"/>
    <w:rsid w:val="2F942233"/>
    <w:rsid w:val="302C4D44"/>
    <w:rsid w:val="30580276"/>
    <w:rsid w:val="308E2C95"/>
    <w:rsid w:val="3098505F"/>
    <w:rsid w:val="30A81F3B"/>
    <w:rsid w:val="30DF415C"/>
    <w:rsid w:val="319C4D72"/>
    <w:rsid w:val="32503ACA"/>
    <w:rsid w:val="330F7161"/>
    <w:rsid w:val="333223BA"/>
    <w:rsid w:val="337E60D4"/>
    <w:rsid w:val="33811F13"/>
    <w:rsid w:val="339366B7"/>
    <w:rsid w:val="33DE7439"/>
    <w:rsid w:val="33E377F8"/>
    <w:rsid w:val="345A6AE1"/>
    <w:rsid w:val="34716B2C"/>
    <w:rsid w:val="34C448AD"/>
    <w:rsid w:val="35094936"/>
    <w:rsid w:val="3541741A"/>
    <w:rsid w:val="35470620"/>
    <w:rsid w:val="354C68BB"/>
    <w:rsid w:val="357F50A8"/>
    <w:rsid w:val="357F5EE6"/>
    <w:rsid w:val="35A8351B"/>
    <w:rsid w:val="35B322A8"/>
    <w:rsid w:val="35C140C4"/>
    <w:rsid w:val="35E71DC4"/>
    <w:rsid w:val="36224CFC"/>
    <w:rsid w:val="364E1C00"/>
    <w:rsid w:val="365B3296"/>
    <w:rsid w:val="36B53E41"/>
    <w:rsid w:val="36C82103"/>
    <w:rsid w:val="372A644B"/>
    <w:rsid w:val="37A7241E"/>
    <w:rsid w:val="37DF734A"/>
    <w:rsid w:val="38AC1045"/>
    <w:rsid w:val="39367354"/>
    <w:rsid w:val="395F1EF0"/>
    <w:rsid w:val="3973599E"/>
    <w:rsid w:val="39F23D22"/>
    <w:rsid w:val="3B830A9F"/>
    <w:rsid w:val="3C0D670F"/>
    <w:rsid w:val="3C112E17"/>
    <w:rsid w:val="3C3F3191"/>
    <w:rsid w:val="3C4162A1"/>
    <w:rsid w:val="3C6F5158"/>
    <w:rsid w:val="3CD049F1"/>
    <w:rsid w:val="3CD45588"/>
    <w:rsid w:val="3DA37EA9"/>
    <w:rsid w:val="3DB746EC"/>
    <w:rsid w:val="3DED0AE0"/>
    <w:rsid w:val="3E4149E2"/>
    <w:rsid w:val="3E59333B"/>
    <w:rsid w:val="3EBB581B"/>
    <w:rsid w:val="3F2C72B9"/>
    <w:rsid w:val="3F946D8C"/>
    <w:rsid w:val="3FF713A1"/>
    <w:rsid w:val="3FFC4DBC"/>
    <w:rsid w:val="402F5870"/>
    <w:rsid w:val="40565AAD"/>
    <w:rsid w:val="40571673"/>
    <w:rsid w:val="406724FD"/>
    <w:rsid w:val="40C07D3A"/>
    <w:rsid w:val="41591307"/>
    <w:rsid w:val="419E0C9C"/>
    <w:rsid w:val="41A5365B"/>
    <w:rsid w:val="4279776B"/>
    <w:rsid w:val="42C00E4E"/>
    <w:rsid w:val="42FF6249"/>
    <w:rsid w:val="43475941"/>
    <w:rsid w:val="43C14BD7"/>
    <w:rsid w:val="43FC4637"/>
    <w:rsid w:val="444636DC"/>
    <w:rsid w:val="448F5505"/>
    <w:rsid w:val="44AF3A49"/>
    <w:rsid w:val="44E01732"/>
    <w:rsid w:val="45817FDD"/>
    <w:rsid w:val="45AE47E1"/>
    <w:rsid w:val="45B43486"/>
    <w:rsid w:val="45F07352"/>
    <w:rsid w:val="46731DFA"/>
    <w:rsid w:val="473D1DA4"/>
    <w:rsid w:val="476A404A"/>
    <w:rsid w:val="47AB6D6B"/>
    <w:rsid w:val="482B51B1"/>
    <w:rsid w:val="48451779"/>
    <w:rsid w:val="486B35CB"/>
    <w:rsid w:val="48A952D7"/>
    <w:rsid w:val="48B51547"/>
    <w:rsid w:val="48CE5959"/>
    <w:rsid w:val="490F33DD"/>
    <w:rsid w:val="492C433E"/>
    <w:rsid w:val="496F55EC"/>
    <w:rsid w:val="4983372D"/>
    <w:rsid w:val="49B06C3D"/>
    <w:rsid w:val="4A3B74C7"/>
    <w:rsid w:val="4A5915C2"/>
    <w:rsid w:val="4A777FD0"/>
    <w:rsid w:val="4AB95802"/>
    <w:rsid w:val="4B084228"/>
    <w:rsid w:val="4B1D4B01"/>
    <w:rsid w:val="4B232401"/>
    <w:rsid w:val="4B3330C3"/>
    <w:rsid w:val="4BB734AB"/>
    <w:rsid w:val="4BFE6D92"/>
    <w:rsid w:val="4C261D82"/>
    <w:rsid w:val="4C795CA6"/>
    <w:rsid w:val="4CB6332B"/>
    <w:rsid w:val="4D1958E0"/>
    <w:rsid w:val="4DB25B52"/>
    <w:rsid w:val="4DDB12EB"/>
    <w:rsid w:val="4E725BDD"/>
    <w:rsid w:val="4E7A70D9"/>
    <w:rsid w:val="4EE56096"/>
    <w:rsid w:val="4F66721A"/>
    <w:rsid w:val="4FBB5BB3"/>
    <w:rsid w:val="4FD6030A"/>
    <w:rsid w:val="4FF104A6"/>
    <w:rsid w:val="4FFA31B0"/>
    <w:rsid w:val="4FFB65EC"/>
    <w:rsid w:val="5076012C"/>
    <w:rsid w:val="50D243D5"/>
    <w:rsid w:val="50DC7FCF"/>
    <w:rsid w:val="51673025"/>
    <w:rsid w:val="51C72B9C"/>
    <w:rsid w:val="52234D27"/>
    <w:rsid w:val="52F37E15"/>
    <w:rsid w:val="5325745B"/>
    <w:rsid w:val="53586E45"/>
    <w:rsid w:val="536B2519"/>
    <w:rsid w:val="53737E4B"/>
    <w:rsid w:val="53B46442"/>
    <w:rsid w:val="5485345F"/>
    <w:rsid w:val="54D86AB6"/>
    <w:rsid w:val="550C4CAC"/>
    <w:rsid w:val="561320F9"/>
    <w:rsid w:val="56912CBF"/>
    <w:rsid w:val="56E04F59"/>
    <w:rsid w:val="57057BD8"/>
    <w:rsid w:val="57BD4C62"/>
    <w:rsid w:val="58556F44"/>
    <w:rsid w:val="58573898"/>
    <w:rsid w:val="589B55EA"/>
    <w:rsid w:val="58AA68C5"/>
    <w:rsid w:val="58B63AF2"/>
    <w:rsid w:val="59350DB0"/>
    <w:rsid w:val="59410FD2"/>
    <w:rsid w:val="5986516F"/>
    <w:rsid w:val="59C8443A"/>
    <w:rsid w:val="59F32F31"/>
    <w:rsid w:val="5B495206"/>
    <w:rsid w:val="5BE3383F"/>
    <w:rsid w:val="5C0B1A0D"/>
    <w:rsid w:val="5C7D445B"/>
    <w:rsid w:val="5C8311AD"/>
    <w:rsid w:val="5C84153A"/>
    <w:rsid w:val="5CE26B07"/>
    <w:rsid w:val="5CFA1734"/>
    <w:rsid w:val="5D3D635D"/>
    <w:rsid w:val="5DD66AB8"/>
    <w:rsid w:val="5EA52855"/>
    <w:rsid w:val="5F4D4C23"/>
    <w:rsid w:val="60334898"/>
    <w:rsid w:val="60585608"/>
    <w:rsid w:val="60860B2A"/>
    <w:rsid w:val="609450AF"/>
    <w:rsid w:val="612A33CA"/>
    <w:rsid w:val="61330941"/>
    <w:rsid w:val="61640763"/>
    <w:rsid w:val="61643F3E"/>
    <w:rsid w:val="618F5122"/>
    <w:rsid w:val="61931BEA"/>
    <w:rsid w:val="61CF6872"/>
    <w:rsid w:val="61E943F9"/>
    <w:rsid w:val="61EB6F9B"/>
    <w:rsid w:val="623641EF"/>
    <w:rsid w:val="63250EC0"/>
    <w:rsid w:val="63CC3156"/>
    <w:rsid w:val="63D3316E"/>
    <w:rsid w:val="6416425A"/>
    <w:rsid w:val="642B0CF0"/>
    <w:rsid w:val="64684D56"/>
    <w:rsid w:val="647B13BB"/>
    <w:rsid w:val="648F1B7B"/>
    <w:rsid w:val="65063408"/>
    <w:rsid w:val="651D1B01"/>
    <w:rsid w:val="65623261"/>
    <w:rsid w:val="660120DB"/>
    <w:rsid w:val="662B07A4"/>
    <w:rsid w:val="6655455C"/>
    <w:rsid w:val="66564031"/>
    <w:rsid w:val="667A75B4"/>
    <w:rsid w:val="668633FE"/>
    <w:rsid w:val="6687696B"/>
    <w:rsid w:val="66CF62BD"/>
    <w:rsid w:val="66D34B35"/>
    <w:rsid w:val="67305820"/>
    <w:rsid w:val="677B1989"/>
    <w:rsid w:val="678E0947"/>
    <w:rsid w:val="67CE1617"/>
    <w:rsid w:val="67F622E2"/>
    <w:rsid w:val="684E46B2"/>
    <w:rsid w:val="69673F39"/>
    <w:rsid w:val="69674CBF"/>
    <w:rsid w:val="697105A0"/>
    <w:rsid w:val="69885F1C"/>
    <w:rsid w:val="69E51946"/>
    <w:rsid w:val="6A0A3A71"/>
    <w:rsid w:val="6A1D0EB8"/>
    <w:rsid w:val="6A8A2556"/>
    <w:rsid w:val="6A986E6C"/>
    <w:rsid w:val="6ACF41BE"/>
    <w:rsid w:val="6AD723E1"/>
    <w:rsid w:val="6AE74D6E"/>
    <w:rsid w:val="6B282B2C"/>
    <w:rsid w:val="6B383C28"/>
    <w:rsid w:val="6B47662E"/>
    <w:rsid w:val="6B66495D"/>
    <w:rsid w:val="6B8F7503"/>
    <w:rsid w:val="6B98578F"/>
    <w:rsid w:val="6BF4391D"/>
    <w:rsid w:val="6C09581D"/>
    <w:rsid w:val="6C977843"/>
    <w:rsid w:val="6D2A4BC2"/>
    <w:rsid w:val="6D82727D"/>
    <w:rsid w:val="6D9517B0"/>
    <w:rsid w:val="6DB14ACA"/>
    <w:rsid w:val="6DC34773"/>
    <w:rsid w:val="6DC767D7"/>
    <w:rsid w:val="6DF851F3"/>
    <w:rsid w:val="6EDC7F2F"/>
    <w:rsid w:val="6F0906E3"/>
    <w:rsid w:val="6F441936"/>
    <w:rsid w:val="6F5F226C"/>
    <w:rsid w:val="6F6E46C4"/>
    <w:rsid w:val="6FE203B4"/>
    <w:rsid w:val="70BB39F0"/>
    <w:rsid w:val="71550E1F"/>
    <w:rsid w:val="716D0A98"/>
    <w:rsid w:val="71907A73"/>
    <w:rsid w:val="719521DA"/>
    <w:rsid w:val="71C415C7"/>
    <w:rsid w:val="71CF6E0C"/>
    <w:rsid w:val="72142535"/>
    <w:rsid w:val="72474335"/>
    <w:rsid w:val="731B140D"/>
    <w:rsid w:val="73F16534"/>
    <w:rsid w:val="74334907"/>
    <w:rsid w:val="74364978"/>
    <w:rsid w:val="74785742"/>
    <w:rsid w:val="74A21B82"/>
    <w:rsid w:val="74BC6B3A"/>
    <w:rsid w:val="74D26050"/>
    <w:rsid w:val="759F1F1B"/>
    <w:rsid w:val="75EF3413"/>
    <w:rsid w:val="75F72A95"/>
    <w:rsid w:val="76054662"/>
    <w:rsid w:val="763E3C85"/>
    <w:rsid w:val="76841551"/>
    <w:rsid w:val="770D3AA0"/>
    <w:rsid w:val="78463888"/>
    <w:rsid w:val="787D67A9"/>
    <w:rsid w:val="7A2E1204"/>
    <w:rsid w:val="7A3A532D"/>
    <w:rsid w:val="7AD87AFF"/>
    <w:rsid w:val="7ADD5D2E"/>
    <w:rsid w:val="7B932FB9"/>
    <w:rsid w:val="7BA52103"/>
    <w:rsid w:val="7BA91D3D"/>
    <w:rsid w:val="7BEA75AE"/>
    <w:rsid w:val="7C1B11AE"/>
    <w:rsid w:val="7C67197C"/>
    <w:rsid w:val="7CCC1CEF"/>
    <w:rsid w:val="7CF14F75"/>
    <w:rsid w:val="7D14641E"/>
    <w:rsid w:val="7DA0615A"/>
    <w:rsid w:val="7DC827E4"/>
    <w:rsid w:val="7E110579"/>
    <w:rsid w:val="7EEF3669"/>
    <w:rsid w:val="7EF04511"/>
    <w:rsid w:val="7F100AE0"/>
    <w:rsid w:val="7FAA2FE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left="50" w:right="62" w:hanging="50" w:hangingChars="5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9"/>
    <w:semiHidden/>
    <w:unhideWhenUsed/>
    <w:qFormat/>
    <w:uiPriority w:val="99"/>
    <w:pPr>
      <w:jc w:val="left"/>
    </w:pPr>
  </w:style>
  <w:style w:type="paragraph" w:styleId="3">
    <w:name w:val="Plain Text"/>
    <w:basedOn w:val="1"/>
    <w:link w:val="22"/>
    <w:qFormat/>
    <w:uiPriority w:val="99"/>
    <w:pPr>
      <w:spacing w:line="240" w:lineRule="auto"/>
      <w:ind w:left="0" w:right="0" w:firstLine="0" w:firstLineChars="0"/>
    </w:pPr>
    <w:rPr>
      <w:rFonts w:ascii="宋体" w:hAnsi="Courier New" w:cstheme="minorBidi"/>
      <w:szCs w:val="22"/>
    </w:rPr>
  </w:style>
  <w:style w:type="paragraph" w:styleId="4">
    <w:name w:val="Balloon Text"/>
    <w:basedOn w:val="1"/>
    <w:link w:val="14"/>
    <w:semiHidden/>
    <w:unhideWhenUsed/>
    <w:qFormat/>
    <w:uiPriority w:val="99"/>
    <w:pPr>
      <w:spacing w:line="240" w:lineRule="auto"/>
    </w:pPr>
    <w:rPr>
      <w:sz w:val="18"/>
      <w:szCs w:val="18"/>
    </w:rPr>
  </w:style>
  <w:style w:type="paragraph" w:styleId="5">
    <w:name w:val="footer"/>
    <w:basedOn w:val="1"/>
    <w:link w:val="18"/>
    <w:unhideWhenUsed/>
    <w:qFormat/>
    <w:uiPriority w:val="0"/>
    <w:pPr>
      <w:tabs>
        <w:tab w:val="center" w:pos="4153"/>
        <w:tab w:val="right" w:pos="8306"/>
      </w:tabs>
      <w:snapToGrid w:val="0"/>
      <w:spacing w:line="240" w:lineRule="auto"/>
      <w:jc w:val="left"/>
    </w:pPr>
    <w:rPr>
      <w:sz w:val="18"/>
      <w:szCs w:val="18"/>
    </w:rPr>
  </w:style>
  <w:style w:type="paragraph" w:styleId="6">
    <w:name w:val="header"/>
    <w:basedOn w:val="1"/>
    <w:link w:val="17"/>
    <w:unhideWhenUsed/>
    <w:qFormat/>
    <w:uiPriority w:val="0"/>
    <w:pPr>
      <w:pBdr>
        <w:bottom w:val="single" w:color="auto" w:sz="6" w:space="1"/>
      </w:pBdr>
      <w:tabs>
        <w:tab w:val="center" w:pos="4153"/>
        <w:tab w:val="right" w:pos="8306"/>
      </w:tabs>
      <w:snapToGrid w:val="0"/>
      <w:spacing w:line="240" w:lineRule="auto"/>
      <w:jc w:val="center"/>
    </w:pPr>
    <w:rPr>
      <w:sz w:val="18"/>
      <w:szCs w:val="18"/>
    </w:rPr>
  </w:style>
  <w:style w:type="paragraph" w:styleId="7">
    <w:name w:val="annotation subject"/>
    <w:basedOn w:val="2"/>
    <w:next w:val="2"/>
    <w:link w:val="20"/>
    <w:semiHidden/>
    <w:unhideWhenUsed/>
    <w:qFormat/>
    <w:uiPriority w:val="99"/>
    <w:rPr>
      <w:b/>
      <w:bCs/>
    </w:rPr>
  </w:style>
  <w:style w:type="table" w:styleId="9">
    <w:name w:val="Table Grid"/>
    <w:basedOn w:val="8"/>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11">
    <w:name w:val="FollowedHyperlink"/>
    <w:basedOn w:val="10"/>
    <w:semiHidden/>
    <w:unhideWhenUsed/>
    <w:qFormat/>
    <w:uiPriority w:val="99"/>
    <w:rPr>
      <w:color w:val="800080"/>
      <w:u w:val="single"/>
    </w:rPr>
  </w:style>
  <w:style w:type="character" w:styleId="12">
    <w:name w:val="Hyperlink"/>
    <w:basedOn w:val="10"/>
    <w:semiHidden/>
    <w:unhideWhenUsed/>
    <w:qFormat/>
    <w:uiPriority w:val="99"/>
    <w:rPr>
      <w:color w:val="0000FF"/>
      <w:u w:val="single"/>
    </w:rPr>
  </w:style>
  <w:style w:type="character" w:styleId="13">
    <w:name w:val="annotation reference"/>
    <w:basedOn w:val="10"/>
    <w:semiHidden/>
    <w:unhideWhenUsed/>
    <w:qFormat/>
    <w:uiPriority w:val="99"/>
    <w:rPr>
      <w:sz w:val="21"/>
      <w:szCs w:val="21"/>
    </w:rPr>
  </w:style>
  <w:style w:type="character" w:customStyle="1" w:styleId="14">
    <w:name w:val="批注框文本 Char"/>
    <w:basedOn w:val="10"/>
    <w:link w:val="4"/>
    <w:semiHidden/>
    <w:qFormat/>
    <w:uiPriority w:val="99"/>
    <w:rPr>
      <w:rFonts w:ascii="Times New Roman" w:hAnsi="Times New Roman" w:eastAsia="宋体" w:cs="Times New Roman"/>
      <w:sz w:val="18"/>
      <w:szCs w:val="18"/>
    </w:rPr>
  </w:style>
  <w:style w:type="paragraph" w:styleId="15">
    <w:name w:val="List Paragraph"/>
    <w:basedOn w:val="1"/>
    <w:qFormat/>
    <w:uiPriority w:val="34"/>
    <w:pPr>
      <w:ind w:firstLine="420" w:firstLineChars="200"/>
    </w:pPr>
  </w:style>
  <w:style w:type="paragraph" w:customStyle="1" w:styleId="16">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7">
    <w:name w:val="页眉 Char"/>
    <w:basedOn w:val="10"/>
    <w:link w:val="6"/>
    <w:qFormat/>
    <w:uiPriority w:val="0"/>
    <w:rPr>
      <w:rFonts w:ascii="Times New Roman" w:hAnsi="Times New Roman" w:eastAsia="宋体" w:cs="Times New Roman"/>
      <w:sz w:val="18"/>
      <w:szCs w:val="18"/>
    </w:rPr>
  </w:style>
  <w:style w:type="character" w:customStyle="1" w:styleId="18">
    <w:name w:val="页脚 Char"/>
    <w:basedOn w:val="10"/>
    <w:link w:val="5"/>
    <w:qFormat/>
    <w:uiPriority w:val="0"/>
    <w:rPr>
      <w:rFonts w:ascii="Times New Roman" w:hAnsi="Times New Roman" w:eastAsia="宋体" w:cs="Times New Roman"/>
      <w:sz w:val="18"/>
      <w:szCs w:val="18"/>
    </w:rPr>
  </w:style>
  <w:style w:type="character" w:customStyle="1" w:styleId="19">
    <w:name w:val="批注文字 Char"/>
    <w:basedOn w:val="10"/>
    <w:link w:val="2"/>
    <w:semiHidden/>
    <w:qFormat/>
    <w:uiPriority w:val="99"/>
    <w:rPr>
      <w:rFonts w:ascii="Times New Roman" w:hAnsi="Times New Roman" w:eastAsia="宋体" w:cs="Times New Roman"/>
      <w:szCs w:val="24"/>
    </w:rPr>
  </w:style>
  <w:style w:type="character" w:customStyle="1" w:styleId="20">
    <w:name w:val="批注主题 Char"/>
    <w:basedOn w:val="19"/>
    <w:link w:val="7"/>
    <w:semiHidden/>
    <w:qFormat/>
    <w:uiPriority w:val="99"/>
    <w:rPr>
      <w:rFonts w:ascii="Times New Roman" w:hAnsi="Times New Roman" w:eastAsia="宋体" w:cs="Times New Roman"/>
      <w:b/>
      <w:bCs/>
      <w:szCs w:val="24"/>
    </w:rPr>
  </w:style>
  <w:style w:type="character" w:customStyle="1" w:styleId="21">
    <w:name w:val="纯文本 Char"/>
    <w:qFormat/>
    <w:uiPriority w:val="99"/>
    <w:rPr>
      <w:rFonts w:ascii="宋体" w:hAnsi="Courier New" w:eastAsia="宋体"/>
    </w:rPr>
  </w:style>
  <w:style w:type="character" w:customStyle="1" w:styleId="22">
    <w:name w:val="纯文本 Char1"/>
    <w:basedOn w:val="10"/>
    <w:link w:val="3"/>
    <w:semiHidden/>
    <w:qFormat/>
    <w:uiPriority w:val="99"/>
    <w:rPr>
      <w:rFonts w:ascii="宋体" w:hAnsi="Courier New" w:eastAsia="宋体" w:cs="Courier New"/>
      <w:szCs w:val="21"/>
    </w:rPr>
  </w:style>
  <w:style w:type="character" w:customStyle="1" w:styleId="23">
    <w:name w:val="font01"/>
    <w:basedOn w:val="10"/>
    <w:qFormat/>
    <w:uiPriority w:val="0"/>
    <w:rPr>
      <w:rFonts w:hint="eastAsia" w:ascii="宋体" w:hAnsi="宋体" w:eastAsia="宋体" w:cs="宋体"/>
      <w:color w:val="000000"/>
      <w:sz w:val="22"/>
      <w:szCs w:val="22"/>
      <w:u w:val="none"/>
    </w:rPr>
  </w:style>
  <w:style w:type="character" w:customStyle="1" w:styleId="24">
    <w:name w:val="font31"/>
    <w:basedOn w:val="10"/>
    <w:qFormat/>
    <w:uiPriority w:val="0"/>
    <w:rPr>
      <w:rFonts w:hint="eastAsia" w:ascii="宋体" w:hAnsi="宋体" w:eastAsia="宋体" w:cs="宋体"/>
      <w:color w:val="000000"/>
      <w:sz w:val="22"/>
      <w:szCs w:val="22"/>
      <w:u w:val="none"/>
    </w:rPr>
  </w:style>
  <w:style w:type="character" w:customStyle="1" w:styleId="25">
    <w:name w:val="font21"/>
    <w:basedOn w:val="10"/>
    <w:qFormat/>
    <w:uiPriority w:val="0"/>
    <w:rPr>
      <w:rFonts w:hint="eastAsia" w:ascii="宋体" w:hAnsi="宋体" w:eastAsia="宋体" w:cs="宋体"/>
      <w:color w:val="FF0000"/>
      <w:sz w:val="24"/>
      <w:szCs w:val="24"/>
      <w:u w:val="none"/>
    </w:rPr>
  </w:style>
  <w:style w:type="character" w:customStyle="1" w:styleId="26">
    <w:name w:val="font11"/>
    <w:basedOn w:val="10"/>
    <w:qFormat/>
    <w:uiPriority w:val="0"/>
    <w:rPr>
      <w:rFonts w:hint="eastAsia" w:ascii="宋体" w:hAnsi="宋体" w:eastAsia="宋体" w:cs="宋体"/>
      <w:color w:val="000000"/>
      <w:sz w:val="24"/>
      <w:szCs w:val="24"/>
      <w:u w:val="none"/>
    </w:rPr>
  </w:style>
  <w:style w:type="paragraph" w:customStyle="1" w:styleId="27">
    <w:name w:val="font5"/>
    <w:basedOn w:val="1"/>
    <w:qFormat/>
    <w:uiPriority w:val="0"/>
    <w:pPr>
      <w:widowControl/>
      <w:spacing w:before="100" w:beforeAutospacing="1" w:after="100" w:afterAutospacing="1" w:line="240" w:lineRule="auto"/>
      <w:ind w:left="0" w:right="0" w:firstLine="0" w:firstLineChars="0"/>
      <w:jc w:val="left"/>
    </w:pPr>
    <w:rPr>
      <w:rFonts w:ascii="宋体" w:hAnsi="宋体" w:cs="宋体"/>
      <w:kern w:val="0"/>
      <w:sz w:val="18"/>
      <w:szCs w:val="18"/>
    </w:rPr>
  </w:style>
  <w:style w:type="paragraph" w:customStyle="1" w:styleId="28">
    <w:name w:val="font6"/>
    <w:basedOn w:val="1"/>
    <w:qFormat/>
    <w:uiPriority w:val="0"/>
    <w:pPr>
      <w:widowControl/>
      <w:spacing w:before="100" w:beforeAutospacing="1" w:after="100" w:afterAutospacing="1" w:line="240" w:lineRule="auto"/>
      <w:ind w:left="0" w:right="0" w:firstLine="0" w:firstLineChars="0"/>
      <w:jc w:val="left"/>
    </w:pPr>
    <w:rPr>
      <w:rFonts w:ascii="宋体" w:hAnsi="宋体" w:cs="宋体"/>
      <w:kern w:val="0"/>
      <w:sz w:val="24"/>
    </w:rPr>
  </w:style>
  <w:style w:type="paragraph" w:customStyle="1" w:styleId="29">
    <w:name w:val="font7"/>
    <w:basedOn w:val="1"/>
    <w:qFormat/>
    <w:uiPriority w:val="0"/>
    <w:pPr>
      <w:widowControl/>
      <w:spacing w:before="100" w:beforeAutospacing="1" w:after="100" w:afterAutospacing="1" w:line="240" w:lineRule="auto"/>
      <w:ind w:left="0" w:right="0" w:firstLine="0" w:firstLineChars="0"/>
      <w:jc w:val="left"/>
    </w:pPr>
    <w:rPr>
      <w:rFonts w:ascii="宋体" w:hAnsi="宋体" w:cs="宋体"/>
      <w:color w:val="000000"/>
      <w:kern w:val="0"/>
      <w:sz w:val="24"/>
    </w:rPr>
  </w:style>
  <w:style w:type="paragraph" w:customStyle="1" w:styleId="30">
    <w:name w:val="xl65"/>
    <w:basedOn w:val="1"/>
    <w:qFormat/>
    <w:uiPriority w:val="0"/>
    <w:pPr>
      <w:widowControl/>
      <w:spacing w:before="100" w:beforeAutospacing="1" w:after="100" w:afterAutospacing="1" w:line="240" w:lineRule="auto"/>
      <w:ind w:left="0" w:right="0" w:firstLine="0" w:firstLineChars="0"/>
      <w:jc w:val="left"/>
    </w:pPr>
    <w:rPr>
      <w:rFonts w:ascii="宋体" w:hAnsi="宋体" w:cs="宋体"/>
      <w:kern w:val="0"/>
      <w:sz w:val="28"/>
      <w:szCs w:val="28"/>
    </w:rPr>
  </w:style>
  <w:style w:type="paragraph" w:customStyle="1" w:styleId="31">
    <w:name w:val="xl66"/>
    <w:basedOn w:val="1"/>
    <w:qFormat/>
    <w:uiPriority w:val="0"/>
    <w:pPr>
      <w:widowControl/>
      <w:spacing w:before="100" w:beforeAutospacing="1" w:after="100" w:afterAutospacing="1" w:line="240" w:lineRule="auto"/>
      <w:ind w:left="0" w:right="0" w:firstLine="0" w:firstLineChars="0"/>
      <w:jc w:val="left"/>
    </w:pPr>
    <w:rPr>
      <w:rFonts w:ascii="宋体" w:hAnsi="宋体" w:cs="宋体"/>
      <w:b/>
      <w:bCs/>
      <w:kern w:val="0"/>
      <w:sz w:val="24"/>
    </w:rPr>
  </w:style>
  <w:style w:type="paragraph" w:customStyle="1" w:styleId="32">
    <w:name w:val="xl67"/>
    <w:basedOn w:val="1"/>
    <w:qFormat/>
    <w:uiPriority w:val="0"/>
    <w:pPr>
      <w:widowControl/>
      <w:spacing w:before="100" w:beforeAutospacing="1" w:after="100" w:afterAutospacing="1" w:line="240" w:lineRule="auto"/>
      <w:ind w:left="0" w:right="0" w:firstLine="0" w:firstLineChars="0"/>
      <w:jc w:val="left"/>
    </w:pPr>
    <w:rPr>
      <w:rFonts w:ascii="宋体" w:hAnsi="宋体" w:cs="宋体"/>
      <w:kern w:val="0"/>
      <w:sz w:val="28"/>
      <w:szCs w:val="28"/>
    </w:rPr>
  </w:style>
  <w:style w:type="paragraph" w:customStyle="1" w:styleId="33">
    <w:name w:val="xl68"/>
    <w:basedOn w:val="1"/>
    <w:qFormat/>
    <w:uiPriority w:val="0"/>
    <w:pPr>
      <w:widowControl/>
      <w:spacing w:before="100" w:beforeAutospacing="1" w:after="100" w:afterAutospacing="1" w:line="240" w:lineRule="auto"/>
      <w:ind w:left="0" w:right="0" w:firstLine="0" w:firstLineChars="0"/>
      <w:jc w:val="left"/>
    </w:pPr>
    <w:rPr>
      <w:rFonts w:ascii="宋体" w:hAnsi="宋体" w:cs="宋体"/>
      <w:b/>
      <w:bCs/>
      <w:kern w:val="0"/>
      <w:sz w:val="28"/>
      <w:szCs w:val="28"/>
    </w:rPr>
  </w:style>
  <w:style w:type="paragraph" w:customStyle="1" w:styleId="34">
    <w:name w:val="xl69"/>
    <w:basedOn w:val="1"/>
    <w:qFormat/>
    <w:uiPriority w:val="0"/>
    <w:pPr>
      <w:widowControl/>
      <w:spacing w:before="100" w:beforeAutospacing="1" w:after="100" w:afterAutospacing="1" w:line="240" w:lineRule="auto"/>
      <w:ind w:left="0" w:right="0" w:firstLine="0" w:firstLineChars="0"/>
      <w:jc w:val="left"/>
    </w:pPr>
    <w:rPr>
      <w:rFonts w:ascii="宋体" w:hAnsi="宋体" w:cs="宋体"/>
      <w:kern w:val="0"/>
      <w:sz w:val="24"/>
    </w:rPr>
  </w:style>
  <w:style w:type="paragraph" w:customStyle="1" w:styleId="35">
    <w:name w:val="xl70"/>
    <w:basedOn w:val="1"/>
    <w:qFormat/>
    <w:uiPriority w:val="0"/>
    <w:pPr>
      <w:widowControl/>
      <w:spacing w:before="100" w:beforeAutospacing="1" w:after="100" w:afterAutospacing="1" w:line="240" w:lineRule="auto"/>
      <w:ind w:left="0" w:right="0" w:firstLine="0" w:firstLineChars="0"/>
      <w:jc w:val="left"/>
    </w:pPr>
    <w:rPr>
      <w:rFonts w:ascii="宋体" w:hAnsi="宋体" w:cs="宋体"/>
      <w:kern w:val="0"/>
      <w:sz w:val="24"/>
    </w:rPr>
  </w:style>
  <w:style w:type="paragraph" w:customStyle="1" w:styleId="36">
    <w:name w:val="xl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left="0" w:right="0" w:firstLine="0" w:firstLineChars="0"/>
      <w:jc w:val="center"/>
    </w:pPr>
    <w:rPr>
      <w:rFonts w:ascii="宋体" w:hAnsi="宋体" w:cs="宋体"/>
      <w:b/>
      <w:bCs/>
      <w:kern w:val="0"/>
      <w:sz w:val="24"/>
    </w:rPr>
  </w:style>
  <w:style w:type="paragraph" w:customStyle="1" w:styleId="37">
    <w:name w:val="xl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left="0" w:right="0" w:firstLine="0" w:firstLineChars="0"/>
      <w:jc w:val="center"/>
    </w:pPr>
    <w:rPr>
      <w:rFonts w:ascii="宋体" w:hAnsi="宋体" w:cs="宋体"/>
      <w:b/>
      <w:bCs/>
      <w:kern w:val="0"/>
      <w:sz w:val="24"/>
    </w:rPr>
  </w:style>
  <w:style w:type="paragraph" w:customStyle="1" w:styleId="38">
    <w:name w:val="xl73"/>
    <w:basedOn w:val="1"/>
    <w:qFormat/>
    <w:uiPriority w:val="0"/>
    <w:pPr>
      <w:widowControl/>
      <w:pBdr>
        <w:top w:val="single" w:color="auto" w:sz="4" w:space="0"/>
        <w:left w:val="single" w:color="auto" w:sz="4" w:space="0"/>
        <w:bottom w:val="single" w:color="auto" w:sz="4" w:space="0"/>
      </w:pBdr>
      <w:spacing w:before="100" w:beforeAutospacing="1" w:after="100" w:afterAutospacing="1" w:line="240" w:lineRule="auto"/>
      <w:ind w:left="0" w:right="0" w:firstLine="0" w:firstLineChars="0"/>
      <w:jc w:val="center"/>
    </w:pPr>
    <w:rPr>
      <w:rFonts w:ascii="宋体" w:hAnsi="宋体" w:cs="宋体"/>
      <w:b/>
      <w:bCs/>
      <w:kern w:val="0"/>
      <w:sz w:val="24"/>
    </w:rPr>
  </w:style>
  <w:style w:type="paragraph" w:customStyle="1" w:styleId="39">
    <w:name w:val="xl74"/>
    <w:basedOn w:val="1"/>
    <w:qFormat/>
    <w:uiPriority w:val="0"/>
    <w:pPr>
      <w:widowControl/>
      <w:pBdr>
        <w:top w:val="single" w:color="auto" w:sz="4" w:space="0"/>
        <w:bottom w:val="single" w:color="auto" w:sz="4" w:space="0"/>
      </w:pBdr>
      <w:spacing w:before="100" w:beforeAutospacing="1" w:after="100" w:afterAutospacing="1" w:line="240" w:lineRule="auto"/>
      <w:ind w:left="0" w:right="0" w:firstLine="0" w:firstLineChars="0"/>
      <w:jc w:val="center"/>
    </w:pPr>
    <w:rPr>
      <w:rFonts w:ascii="宋体" w:hAnsi="宋体" w:cs="宋体"/>
      <w:b/>
      <w:bCs/>
      <w:kern w:val="0"/>
      <w:sz w:val="24"/>
    </w:rPr>
  </w:style>
  <w:style w:type="paragraph" w:customStyle="1" w:styleId="40">
    <w:name w:val="xl75"/>
    <w:basedOn w:val="1"/>
    <w:qFormat/>
    <w:uiPriority w:val="0"/>
    <w:pPr>
      <w:widowControl/>
      <w:pBdr>
        <w:top w:val="single" w:color="auto" w:sz="4" w:space="0"/>
        <w:bottom w:val="single" w:color="auto" w:sz="4" w:space="0"/>
        <w:right w:val="single" w:color="auto" w:sz="4" w:space="0"/>
      </w:pBdr>
      <w:spacing w:before="100" w:beforeAutospacing="1" w:after="100" w:afterAutospacing="1" w:line="240" w:lineRule="auto"/>
      <w:ind w:left="0" w:right="0" w:firstLine="0" w:firstLineChars="0"/>
      <w:jc w:val="center"/>
    </w:pPr>
    <w:rPr>
      <w:rFonts w:ascii="宋体" w:hAnsi="宋体" w:cs="宋体"/>
      <w:b/>
      <w:bCs/>
      <w:kern w:val="0"/>
      <w:sz w:val="24"/>
    </w:rPr>
  </w:style>
  <w:style w:type="paragraph" w:customStyle="1" w:styleId="41">
    <w:name w:val="xl7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left="0" w:right="0" w:firstLine="0" w:firstLineChars="0"/>
      <w:jc w:val="center"/>
    </w:pPr>
    <w:rPr>
      <w:rFonts w:ascii="宋体" w:hAnsi="宋体" w:cs="宋体"/>
      <w:kern w:val="0"/>
      <w:sz w:val="24"/>
    </w:rPr>
  </w:style>
  <w:style w:type="paragraph" w:customStyle="1" w:styleId="42">
    <w:name w:val="xl7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left="0" w:right="0" w:firstLine="0" w:firstLineChars="0"/>
      <w:jc w:val="left"/>
    </w:pPr>
    <w:rPr>
      <w:rFonts w:ascii="宋体" w:hAnsi="宋体" w:cs="宋体"/>
      <w:kern w:val="0"/>
      <w:sz w:val="24"/>
    </w:rPr>
  </w:style>
  <w:style w:type="paragraph" w:customStyle="1" w:styleId="43">
    <w:name w:val="xl7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left="0" w:right="0" w:firstLine="0" w:firstLineChars="0"/>
      <w:jc w:val="left"/>
    </w:pPr>
    <w:rPr>
      <w:rFonts w:ascii="宋体" w:hAnsi="宋体" w:cs="宋体"/>
      <w:kern w:val="0"/>
      <w:sz w:val="24"/>
    </w:rPr>
  </w:style>
  <w:style w:type="paragraph" w:customStyle="1" w:styleId="44">
    <w:name w:val="xl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left="0" w:right="0" w:firstLine="0" w:firstLineChars="0"/>
      <w:jc w:val="left"/>
    </w:pPr>
    <w:rPr>
      <w:rFonts w:ascii="宋体" w:hAnsi="宋体" w:cs="宋体"/>
      <w:b/>
      <w:bCs/>
      <w:kern w:val="0"/>
      <w:sz w:val="24"/>
    </w:rPr>
  </w:style>
  <w:style w:type="paragraph" w:customStyle="1" w:styleId="45">
    <w:name w:val="xl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left="0" w:right="0" w:firstLine="0" w:firstLineChars="0"/>
      <w:jc w:val="center"/>
    </w:pPr>
    <w:rPr>
      <w:rFonts w:ascii="宋体" w:hAnsi="宋体" w:cs="宋体"/>
      <w:b/>
      <w:bCs/>
      <w:kern w:val="0"/>
      <w:sz w:val="24"/>
    </w:rPr>
  </w:style>
  <w:style w:type="paragraph" w:customStyle="1" w:styleId="46">
    <w:name w:val="xl81"/>
    <w:basedOn w:val="1"/>
    <w:qFormat/>
    <w:uiPriority w:val="0"/>
    <w:pPr>
      <w:widowControl/>
      <w:pBdr>
        <w:top w:val="single" w:color="auto" w:sz="4" w:space="0"/>
        <w:left w:val="single" w:color="auto" w:sz="4" w:space="0"/>
        <w:bottom w:val="single" w:color="auto" w:sz="4" w:space="0"/>
      </w:pBdr>
      <w:spacing w:before="100" w:beforeAutospacing="1" w:after="100" w:afterAutospacing="1" w:line="240" w:lineRule="auto"/>
      <w:ind w:left="0" w:right="0" w:firstLine="0" w:firstLineChars="0"/>
      <w:jc w:val="center"/>
    </w:pPr>
    <w:rPr>
      <w:rFonts w:ascii="宋体" w:hAnsi="宋体" w:cs="宋体"/>
      <w:b/>
      <w:bCs/>
      <w:kern w:val="0"/>
      <w:sz w:val="24"/>
    </w:rPr>
  </w:style>
  <w:style w:type="paragraph" w:customStyle="1" w:styleId="47">
    <w:name w:val="xl82"/>
    <w:basedOn w:val="1"/>
    <w:qFormat/>
    <w:uiPriority w:val="0"/>
    <w:pPr>
      <w:widowControl/>
      <w:pBdr>
        <w:top w:val="single" w:color="auto" w:sz="4" w:space="0"/>
        <w:bottom w:val="single" w:color="auto" w:sz="4" w:space="0"/>
      </w:pBdr>
      <w:spacing w:before="100" w:beforeAutospacing="1" w:after="100" w:afterAutospacing="1" w:line="240" w:lineRule="auto"/>
      <w:ind w:left="0" w:right="0" w:firstLine="0" w:firstLineChars="0"/>
      <w:jc w:val="center"/>
    </w:pPr>
    <w:rPr>
      <w:rFonts w:ascii="宋体" w:hAnsi="宋体" w:cs="宋体"/>
      <w:b/>
      <w:bCs/>
      <w:kern w:val="0"/>
      <w:sz w:val="24"/>
    </w:rPr>
  </w:style>
  <w:style w:type="paragraph" w:customStyle="1" w:styleId="48">
    <w:name w:val="xl83"/>
    <w:basedOn w:val="1"/>
    <w:qFormat/>
    <w:uiPriority w:val="0"/>
    <w:pPr>
      <w:widowControl/>
      <w:pBdr>
        <w:top w:val="single" w:color="auto" w:sz="4" w:space="0"/>
        <w:bottom w:val="single" w:color="auto" w:sz="4" w:space="0"/>
        <w:right w:val="single" w:color="auto" w:sz="4" w:space="0"/>
      </w:pBdr>
      <w:spacing w:before="100" w:beforeAutospacing="1" w:after="100" w:afterAutospacing="1" w:line="240" w:lineRule="auto"/>
      <w:ind w:left="0" w:right="0" w:firstLine="0" w:firstLineChars="0"/>
      <w:jc w:val="center"/>
    </w:pPr>
    <w:rPr>
      <w:rFonts w:ascii="宋体" w:hAnsi="宋体" w:cs="宋体"/>
      <w:b/>
      <w:bCs/>
      <w:kern w:val="0"/>
      <w:sz w:val="24"/>
    </w:rPr>
  </w:style>
  <w:style w:type="paragraph" w:customStyle="1" w:styleId="49">
    <w:name w:val="xl8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left="0" w:right="0" w:firstLine="0" w:firstLineChars="0"/>
      <w:jc w:val="center"/>
    </w:pPr>
    <w:rPr>
      <w:rFonts w:ascii="宋体" w:hAnsi="宋体" w:cs="宋体"/>
      <w:kern w:val="0"/>
      <w:sz w:val="24"/>
    </w:rPr>
  </w:style>
  <w:style w:type="paragraph" w:customStyle="1" w:styleId="50">
    <w:name w:val="xl8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left="0" w:right="0" w:firstLine="0" w:firstLineChars="0"/>
      <w:jc w:val="left"/>
    </w:pPr>
    <w:rPr>
      <w:rFonts w:ascii="宋体" w:hAnsi="宋体" w:cs="宋体"/>
      <w:kern w:val="0"/>
      <w:sz w:val="24"/>
    </w:rPr>
  </w:style>
  <w:style w:type="paragraph" w:customStyle="1" w:styleId="51">
    <w:name w:val="xl8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left="0" w:right="0" w:firstLine="0" w:firstLineChars="0"/>
      <w:jc w:val="left"/>
    </w:pPr>
    <w:rPr>
      <w:rFonts w:ascii="宋体" w:hAnsi="宋体" w:cs="宋体"/>
      <w:kern w:val="0"/>
      <w:sz w:val="24"/>
    </w:rPr>
  </w:style>
  <w:style w:type="paragraph" w:customStyle="1" w:styleId="52">
    <w:name w:val="xl8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left="0" w:right="0" w:firstLine="0" w:firstLineChars="0"/>
      <w:jc w:val="left"/>
    </w:pPr>
    <w:rPr>
      <w:rFonts w:ascii="宋体" w:hAnsi="宋体" w:cs="宋体"/>
      <w:color w:val="000000"/>
      <w:kern w:val="0"/>
      <w:sz w:val="24"/>
    </w:rPr>
  </w:style>
  <w:style w:type="paragraph" w:customStyle="1" w:styleId="53">
    <w:name w:val="xl8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left="0" w:right="0" w:firstLine="0" w:firstLineChars="0"/>
      <w:jc w:val="center"/>
    </w:pPr>
    <w:rPr>
      <w:rFonts w:ascii="宋体" w:hAnsi="宋体" w:cs="宋体"/>
      <w:kern w:val="0"/>
      <w:sz w:val="24"/>
    </w:rPr>
  </w:style>
  <w:style w:type="paragraph" w:customStyle="1" w:styleId="54">
    <w:name w:val="xl8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left="0" w:right="0" w:firstLine="0" w:firstLineChars="0"/>
      <w:jc w:val="left"/>
    </w:pPr>
    <w:rPr>
      <w:rFonts w:ascii="宋体" w:hAnsi="宋体" w:cs="宋体"/>
      <w:color w:val="000000"/>
      <w:kern w:val="0"/>
      <w:sz w:val="24"/>
    </w:rPr>
  </w:style>
  <w:style w:type="paragraph" w:customStyle="1" w:styleId="55">
    <w:name w:val="xl9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left="0" w:right="0" w:firstLine="0" w:firstLineChars="0"/>
      <w:jc w:val="center"/>
    </w:pPr>
    <w:rPr>
      <w:rFonts w:ascii="宋体" w:hAnsi="宋体" w:cs="宋体"/>
      <w:b/>
      <w:bCs/>
      <w:kern w:val="0"/>
      <w:sz w:val="24"/>
    </w:rPr>
  </w:style>
  <w:style w:type="paragraph" w:customStyle="1" w:styleId="56">
    <w:name w:val="xl9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left="0" w:right="0" w:firstLine="0" w:firstLineChars="0"/>
      <w:jc w:val="center"/>
    </w:pPr>
    <w:rPr>
      <w:rFonts w:ascii="宋体" w:hAnsi="宋体" w:cs="宋体"/>
      <w:kern w:val="0"/>
      <w:sz w:val="24"/>
    </w:rPr>
  </w:style>
  <w:style w:type="paragraph" w:customStyle="1" w:styleId="57">
    <w:name w:val="xl9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left="0" w:right="0" w:firstLine="0" w:firstLineChars="0"/>
      <w:jc w:val="center"/>
    </w:pPr>
    <w:rPr>
      <w:rFonts w:ascii="宋体" w:hAnsi="宋体" w:cs="宋体"/>
      <w:kern w:val="0"/>
      <w:sz w:val="24"/>
    </w:rPr>
  </w:style>
  <w:style w:type="paragraph" w:customStyle="1" w:styleId="58">
    <w:name w:val="xl9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left="0" w:right="0" w:firstLine="0" w:firstLineChars="0"/>
      <w:jc w:val="left"/>
    </w:pPr>
    <w:rPr>
      <w:rFonts w:ascii="宋体" w:hAnsi="宋体" w:cs="宋体"/>
      <w:b/>
      <w:bCs/>
      <w:kern w:val="0"/>
      <w:sz w:val="24"/>
    </w:rPr>
  </w:style>
  <w:style w:type="paragraph" w:customStyle="1" w:styleId="59">
    <w:name w:val="xl9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left="0" w:right="0" w:firstLine="0" w:firstLineChars="0"/>
      <w:jc w:val="left"/>
    </w:pPr>
    <w:rPr>
      <w:rFonts w:ascii="宋体" w:hAnsi="宋体" w:cs="宋体"/>
      <w:b/>
      <w:bCs/>
      <w:kern w:val="0"/>
      <w:sz w:val="24"/>
    </w:rPr>
  </w:style>
  <w:style w:type="paragraph" w:customStyle="1" w:styleId="60">
    <w:name w:val="xl9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left="0" w:right="0" w:firstLine="0" w:firstLineChars="0"/>
      <w:jc w:val="center"/>
    </w:pPr>
    <w:rPr>
      <w:rFonts w:ascii="宋体" w:hAnsi="宋体" w:cs="宋体"/>
      <w:kern w:val="0"/>
      <w:sz w:val="24"/>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3188</Words>
  <Characters>3412</Characters>
  <Lines>25</Lines>
  <Paragraphs>7</Paragraphs>
  <TotalTime>35</TotalTime>
  <ScaleCrop>false</ScaleCrop>
  <LinksUpToDate>false</LinksUpToDate>
  <CharactersWithSpaces>3427</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2024-04-11T07:24:00Z</dcterms:created>
  <dc:creator>gyong</dc:creator>
  <cp:lastModifiedBy>Administrator</cp:lastModifiedBy>
  <cp:lastPrinted>2022-06-16T00:55:00Z</cp:lastPrinted>
  <dcterms:modified xsi:type="dcterms:W3CDTF">2024-10-11T00:20:49Z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776E795191754332B4351C459AE4A4FB_13</vt:lpwstr>
  </property>
</Properties>
</file>