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6A189">
      <w:pPr>
        <w:keepNext w:val="0"/>
        <w:keepLines w:val="0"/>
        <w:pageBreakBefore w:val="0"/>
        <w:tabs>
          <w:tab w:val="center" w:pos="5022"/>
          <w:tab w:val="left" w:pos="6670"/>
        </w:tabs>
        <w:kinsoku/>
        <w:wordWrap/>
        <w:overflowPunct/>
        <w:topLinePunct w:val="0"/>
        <w:bidi w:val="0"/>
        <w:snapToGrid/>
        <w:spacing w:line="360" w:lineRule="auto"/>
        <w:ind w:left="0" w:leftChars="0" w:right="0" w:firstLine="0" w:firstLineChars="0"/>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用户</w:t>
      </w:r>
      <w:r>
        <w:rPr>
          <w:rFonts w:hint="eastAsia" w:ascii="宋体" w:hAnsi="宋体" w:eastAsia="宋体" w:cs="宋体"/>
          <w:b/>
          <w:bCs/>
          <w:sz w:val="44"/>
          <w:szCs w:val="44"/>
        </w:rPr>
        <w:t>需求</w:t>
      </w:r>
    </w:p>
    <w:p w14:paraId="1D2895C3">
      <w:pPr>
        <w:keepNext w:val="0"/>
        <w:keepLines w:val="0"/>
        <w:pageBreakBefore w:val="0"/>
        <w:widowControl/>
        <w:kinsoku/>
        <w:wordWrap/>
        <w:overflowPunct/>
        <w:topLinePunct w:val="0"/>
        <w:bidi w:val="0"/>
        <w:snapToGrid/>
        <w:spacing w:line="360" w:lineRule="auto"/>
        <w:ind w:left="0" w:leftChars="0" w:right="0" w:firstLine="0" w:firstLineChars="0"/>
        <w:jc w:val="left"/>
        <w:outlineLvl w:val="1"/>
        <w:rPr>
          <w:rFonts w:hint="eastAsia" w:ascii="宋体" w:hAnsi="宋体" w:eastAsia="宋体" w:cs="宋体"/>
          <w:bCs/>
          <w:sz w:val="24"/>
        </w:rPr>
      </w:pPr>
    </w:p>
    <w:p w14:paraId="56F07F80">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0" w:firstLineChars="0"/>
        <w:jc w:val="left"/>
        <w:outlineLvl w:val="1"/>
        <w:rPr>
          <w:rFonts w:hint="eastAsia" w:ascii="宋体" w:hAnsi="宋体" w:eastAsia="宋体" w:cs="宋体"/>
          <w:b/>
          <w:sz w:val="24"/>
          <w:szCs w:val="24"/>
          <w:lang w:val="en-US" w:eastAsia="zh-CN"/>
        </w:rPr>
      </w:pPr>
      <w:r>
        <w:rPr>
          <w:rFonts w:hint="eastAsia" w:ascii="宋体" w:hAnsi="宋体" w:eastAsia="宋体" w:cs="宋体"/>
          <w:b/>
          <w:kern w:val="2"/>
          <w:sz w:val="24"/>
          <w:szCs w:val="24"/>
          <w:lang w:val="en-US" w:eastAsia="zh-CN" w:bidi="ar-SA"/>
        </w:rPr>
        <w:t>一、</w:t>
      </w:r>
      <w:r>
        <w:rPr>
          <w:rFonts w:hint="eastAsia" w:ascii="宋体" w:hAnsi="宋体" w:eastAsia="宋体" w:cs="宋体"/>
          <w:b/>
          <w:sz w:val="24"/>
          <w:szCs w:val="24"/>
        </w:rPr>
        <w:t>项目</w:t>
      </w:r>
      <w:r>
        <w:rPr>
          <w:rFonts w:hint="eastAsia" w:ascii="宋体" w:hAnsi="宋体" w:eastAsia="宋体" w:cs="宋体"/>
          <w:b/>
          <w:sz w:val="24"/>
          <w:szCs w:val="24"/>
          <w:lang w:val="en-US" w:eastAsia="zh-CN"/>
        </w:rPr>
        <w:t>说明</w:t>
      </w:r>
    </w:p>
    <w:p w14:paraId="672A9924">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1、项目名称：中山市小榄人民医院内科楼体检中心加装电梯项目</w:t>
      </w:r>
    </w:p>
    <w:p w14:paraId="6D752C0B">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2、项目地点：中山市小榄人民医院内科楼一楼大堂</w:t>
      </w:r>
    </w:p>
    <w:p w14:paraId="476F4BEE">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3、项目内容：加装两台电梯上二楼体检中心。详见第四、</w:t>
      </w:r>
      <w:r>
        <w:rPr>
          <w:rFonts w:hint="eastAsia" w:ascii="宋体" w:hAnsi="宋体" w:eastAsia="宋体" w:cs="宋体"/>
          <w:b w:val="0"/>
          <w:bCs/>
          <w:kern w:val="2"/>
          <w:sz w:val="24"/>
          <w:szCs w:val="24"/>
          <w:lang w:val="en-US" w:eastAsia="zh-CN" w:bidi="ar-SA"/>
        </w:rPr>
        <w:t>详细货物及技术规格要求</w:t>
      </w:r>
      <w:r>
        <w:rPr>
          <w:rFonts w:hint="eastAsia" w:ascii="宋体" w:hAnsi="宋体" w:eastAsia="宋体" w:cs="宋体"/>
          <w:b w:val="0"/>
          <w:bCs/>
          <w:sz w:val="24"/>
          <w:szCs w:val="24"/>
          <w:lang w:val="en-US" w:eastAsia="zh-CN"/>
        </w:rPr>
        <w:t>。</w:t>
      </w:r>
    </w:p>
    <w:p w14:paraId="0022E85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b w:val="0"/>
          <w:bCs/>
          <w:sz w:val="24"/>
          <w:szCs w:val="24"/>
          <w:lang w:val="en-US" w:eastAsia="zh-CN"/>
        </w:rPr>
        <w:t>4、</w:t>
      </w:r>
      <w:r>
        <w:rPr>
          <w:rFonts w:hint="eastAsia" w:ascii="宋体" w:hAnsi="宋体" w:eastAsia="宋体" w:cs="宋体"/>
          <w:sz w:val="24"/>
          <w:szCs w:val="24"/>
        </w:rPr>
        <w:t>若供应商对本次项目需要现场踏勘时，可自行前往现场踏勘，采购人不组织统一集中踏勘。</w:t>
      </w:r>
    </w:p>
    <w:p w14:paraId="5E56698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本项目采用总价</w:t>
      </w:r>
      <w:r>
        <w:rPr>
          <w:rFonts w:hint="eastAsia" w:ascii="宋体" w:hAnsi="宋体" w:eastAsia="宋体" w:cs="宋体"/>
          <w:sz w:val="24"/>
          <w:szCs w:val="24"/>
          <w:lang w:val="en-US" w:eastAsia="zh-CN"/>
        </w:rPr>
        <w:t>包干的</w:t>
      </w:r>
      <w:r>
        <w:rPr>
          <w:rFonts w:hint="eastAsia" w:ascii="宋体" w:hAnsi="宋体" w:eastAsia="宋体" w:cs="宋体"/>
          <w:sz w:val="24"/>
          <w:szCs w:val="24"/>
        </w:rPr>
        <w:t>方式，对采购人</w:t>
      </w:r>
      <w:r>
        <w:rPr>
          <w:rFonts w:hint="eastAsia" w:ascii="宋体" w:hAnsi="宋体" w:eastAsia="宋体" w:cs="宋体"/>
          <w:sz w:val="24"/>
          <w:szCs w:val="24"/>
          <w:lang w:val="en-US" w:eastAsia="zh-CN"/>
        </w:rPr>
        <w:t>需求</w:t>
      </w:r>
      <w:r>
        <w:rPr>
          <w:rFonts w:hint="eastAsia" w:ascii="宋体" w:hAnsi="宋体" w:eastAsia="宋体" w:cs="宋体"/>
          <w:sz w:val="24"/>
          <w:szCs w:val="24"/>
        </w:rPr>
        <w:t>中要求的全部内容进行投标。供应商的报价中必须包括项目全部内容的费用（包括安装配件、安装组件、吊装、配送、安装调试、培训、相关法律规定的必须的检验、验收、税金等），费用不管是否在投标人报价书中单列，均视为投标总价中已包括该费用。 </w:t>
      </w:r>
    </w:p>
    <w:p w14:paraId="0B2AD964">
      <w:pPr>
        <w:pStyle w:val="2"/>
        <w:keepNext w:val="0"/>
        <w:keepLines w:val="0"/>
        <w:pageBreakBefore w:val="0"/>
        <w:widowControl w:val="0"/>
        <w:kinsoku/>
        <w:wordWrap/>
        <w:overflowPunct/>
        <w:topLinePunct w:val="0"/>
        <w:autoSpaceDE w:val="0"/>
        <w:autoSpaceDN w:val="0"/>
        <w:bidi w:val="0"/>
        <w:adjustRightInd w:val="0"/>
        <w:snapToGrid/>
        <w:spacing w:line="360" w:lineRule="auto"/>
        <w:ind w:left="0" w:right="0" w:firstLine="480" w:firstLineChars="200"/>
        <w:textAlignment w:val="baseline"/>
        <w:rPr>
          <w:rFonts w:hint="default" w:eastAsia="宋体"/>
          <w:color w:val="FF0000"/>
          <w:lang w:val="en-US" w:eastAsia="zh-CN"/>
        </w:rPr>
      </w:pPr>
      <w:r>
        <w:rPr>
          <w:rFonts w:hint="eastAsia" w:ascii="微软雅黑" w:hAnsi="微软雅黑" w:eastAsia="微软雅黑" w:cs="微软雅黑"/>
          <w:color w:val="FF0000"/>
          <w:sz w:val="24"/>
          <w:szCs w:val="24"/>
          <w:lang w:val="en-US" w:eastAsia="zh-CN"/>
        </w:rPr>
        <w:t>Δ</w:t>
      </w:r>
      <w:r>
        <w:rPr>
          <w:rFonts w:hint="eastAsia" w:hAnsi="宋体" w:cs="宋体"/>
          <w:color w:val="FF0000"/>
          <w:sz w:val="24"/>
          <w:szCs w:val="24"/>
          <w:lang w:val="en-US" w:eastAsia="zh-CN"/>
        </w:rPr>
        <w:t>6、本项目供应商需要提供加装电梯效果图或设计图。（拟安装在大堂屏幕两侧，具体按实际可行方案进行设计）</w:t>
      </w:r>
    </w:p>
    <w:p w14:paraId="6C13E86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eastAsia="宋体" w:cs="宋体"/>
          <w:sz w:val="24"/>
          <w:szCs w:val="24"/>
        </w:rPr>
        <w:t>未经采购人同意，成交供应商不得以任何方式转包或分包本项目。</w:t>
      </w:r>
    </w:p>
    <w:p w14:paraId="5E25D79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、交货地点：采购人指定位置</w:t>
      </w:r>
      <w:r>
        <w:rPr>
          <w:rFonts w:hint="eastAsia" w:ascii="宋体" w:hAnsi="宋体" w:eastAsia="宋体" w:cs="宋体"/>
          <w:sz w:val="24"/>
          <w:szCs w:val="24"/>
          <w:lang w:eastAsia="zh-CN"/>
        </w:rPr>
        <w:t>。</w:t>
      </w:r>
    </w:p>
    <w:p w14:paraId="758AE8A9">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0" w:firstLineChars="0"/>
        <w:jc w:val="left"/>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二、供应商要求</w:t>
      </w:r>
    </w:p>
    <w:p w14:paraId="3E974DF4">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供应商应具备《中华人民共和国政府采购法》第二十二条规定的条件，并对如下条件的真实性负责：1）具有独立承担民事责任的能力；2）具有良好的商业信誉和健全的财务会计制度；3）具有履行合同所必需的设备和专业技术能力；4）有依法缴纳税收和社会保障资金的良好记录；5）参加政府采购活动前三年内，在经营活动中没有重大违法记录；6）法律、行政法规规定的其他条件。</w:t>
      </w:r>
    </w:p>
    <w:p w14:paraId="72DC65F8">
      <w:pPr>
        <w:keepNext w:val="0"/>
        <w:keepLines w:val="0"/>
        <w:pageBreakBefore w:val="0"/>
        <w:tabs>
          <w:tab w:val="left" w:pos="1800"/>
        </w:tabs>
        <w:kinsoku/>
        <w:wordWrap/>
        <w:overflowPunct/>
        <w:topLinePunct w:val="0"/>
        <w:bidi w:val="0"/>
        <w:snapToGrid/>
        <w:spacing w:line="360" w:lineRule="auto"/>
        <w:ind w:left="0" w:right="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2、响应供应商必须在中华人民共和国注册的具有独立民事责任的企业法人或其他组织。</w:t>
      </w:r>
    </w:p>
    <w:p w14:paraId="064F1489">
      <w:pPr>
        <w:pStyle w:val="2"/>
        <w:keepNext w:val="0"/>
        <w:keepLines w:val="0"/>
        <w:pageBreakBefore w:val="0"/>
        <w:kinsoku/>
        <w:wordWrap/>
        <w:overflowPunct/>
        <w:topLinePunct w:val="0"/>
        <w:bidi w:val="0"/>
        <w:snapToGrid/>
        <w:spacing w:line="360" w:lineRule="auto"/>
        <w:ind w:left="0" w:right="0"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响应供应商必须具有有效的营业执照（或事业法人登记证或身份证等相关证明）副本扫描件。分公司或分支机构投标的，须提供总公司和分公司营业执照副本扫描件，总公司出具给分公司或分支机构的授权书。</w:t>
      </w:r>
    </w:p>
    <w:p w14:paraId="4BCB3D9F">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响应供应商如是所投产品的制造商，须同时具备《中华人民共和国特种设备（电梯）制造许可证》A级资质及《中华人民共和国特种设备安装改造维修（电梯）许可证》A级资质；响应供应商如是经销商或代理商，</w:t>
      </w:r>
      <w:r>
        <w:rPr>
          <w:rFonts w:hint="eastAsia" w:ascii="宋体" w:hAnsi="宋体" w:eastAsia="宋体" w:cs="宋体"/>
          <w:color w:val="FF0000"/>
          <w:sz w:val="24"/>
          <w:szCs w:val="24"/>
          <w:highlight w:val="none"/>
        </w:rPr>
        <w:t>须提供所投电梯制造商对经销商或代理商的经销授权书</w:t>
      </w:r>
      <w:r>
        <w:rPr>
          <w:rFonts w:hint="eastAsia" w:ascii="宋体" w:hAnsi="宋体" w:eastAsia="宋体" w:cs="宋体"/>
          <w:sz w:val="24"/>
          <w:szCs w:val="24"/>
          <w:highlight w:val="none"/>
          <w:lang w:eastAsia="zh-CN"/>
        </w:rPr>
        <w:t>，</w:t>
      </w:r>
      <w:r>
        <w:rPr>
          <w:rFonts w:hint="eastAsia" w:ascii="宋体" w:hAnsi="宋体" w:eastAsia="宋体" w:cs="宋体"/>
          <w:sz w:val="24"/>
          <w:szCs w:val="24"/>
          <w:lang w:val="en-US" w:eastAsia="zh-CN"/>
        </w:rPr>
        <w:t>须同时具备《中华人民共和国特种设备安装改造维修（电梯）许可证》A级资质及所投产品制造商的《中华人民共和国特种设备（电梯）制造许可证》A级或以上资质。以上证书均须在有效期内。</w:t>
      </w:r>
    </w:p>
    <w:p w14:paraId="5F4E4F8D">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0" w:firstLineChars="0"/>
        <w:jc w:val="left"/>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三、工期要求</w:t>
      </w:r>
    </w:p>
    <w:p w14:paraId="51C68F8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1、工期要求：90个日历天。</w:t>
      </w:r>
      <w:r>
        <w:rPr>
          <w:rFonts w:hint="eastAsia" w:ascii="宋体" w:hAnsi="宋体" w:eastAsia="宋体" w:cs="宋体"/>
          <w:sz w:val="24"/>
          <w:szCs w:val="24"/>
        </w:rPr>
        <w:t>以采购人发出书面开工通知起开始计算工期。</w:t>
      </w:r>
    </w:p>
    <w:p w14:paraId="69EDBB0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完成工期以采购人签认的竣工时间为准。</w:t>
      </w:r>
    </w:p>
    <w:p w14:paraId="3286C9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3、电梯加装过程中，若出现不可抗力因素，经采购人确认，工期予以顺延。</w:t>
      </w:r>
    </w:p>
    <w:p w14:paraId="3C9E0335">
      <w:pPr>
        <w:keepNext w:val="0"/>
        <w:keepLines w:val="0"/>
        <w:pageBreakBefore w:val="0"/>
        <w:widowControl/>
        <w:numPr>
          <w:ilvl w:val="0"/>
          <w:numId w:val="0"/>
        </w:numPr>
        <w:kinsoku/>
        <w:wordWrap/>
        <w:overflowPunct/>
        <w:topLinePunct w:val="0"/>
        <w:bidi w:val="0"/>
        <w:snapToGrid/>
        <w:spacing w:line="360" w:lineRule="auto"/>
        <w:ind w:left="0" w:leftChars="0" w:right="0" w:rightChars="0" w:firstLine="0" w:firstLineChars="0"/>
        <w:jc w:val="left"/>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四、详细货物及技术规格要求</w:t>
      </w:r>
    </w:p>
    <w:p w14:paraId="2872367A">
      <w:pPr>
        <w:pStyle w:val="2"/>
        <w:keepNext w:val="0"/>
        <w:keepLines w:val="0"/>
        <w:pageBreakBefore w:val="0"/>
        <w:kinsoku/>
        <w:wordWrap/>
        <w:overflowPunct/>
        <w:topLinePunct w:val="0"/>
        <w:bidi w:val="0"/>
        <w:snapToGrid/>
        <w:spacing w:line="360" w:lineRule="auto"/>
        <w:ind w:left="0" w:leftChars="0" w:right="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1、清单</w:t>
      </w:r>
    </w:p>
    <w:p w14:paraId="41A6F3A3">
      <w:pPr>
        <w:pStyle w:val="3"/>
        <w:keepNext w:val="0"/>
        <w:keepLines w:val="0"/>
        <w:pageBreakBefore w:val="0"/>
        <w:widowControl w:val="0"/>
        <w:kinsoku/>
        <w:wordWrap/>
        <w:overflowPunct/>
        <w:topLinePunct w:val="0"/>
        <w:autoSpaceDE/>
        <w:autoSpaceDN/>
        <w:bidi w:val="0"/>
        <w:adjustRightInd/>
        <w:snapToGrid/>
        <w:ind w:left="0" w:leftChars="0" w:right="0" w:firstLine="0" w:firstLineChars="0"/>
        <w:jc w:val="center"/>
        <w:textAlignment w:val="auto"/>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内科楼电梯选型技术数据表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1755"/>
        <w:gridCol w:w="1756"/>
        <w:gridCol w:w="1756"/>
        <w:gridCol w:w="1756"/>
        <w:gridCol w:w="1756"/>
      </w:tblGrid>
      <w:tr w14:paraId="3CBC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Align w:val="center"/>
          </w:tcPr>
          <w:p w14:paraId="3B5453E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货物名称</w:t>
            </w:r>
          </w:p>
        </w:tc>
        <w:tc>
          <w:tcPr>
            <w:tcW w:w="1755" w:type="dxa"/>
            <w:vAlign w:val="center"/>
          </w:tcPr>
          <w:p w14:paraId="0F5060E6">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载重（kg）≥</w:t>
            </w:r>
          </w:p>
        </w:tc>
        <w:tc>
          <w:tcPr>
            <w:tcW w:w="1756" w:type="dxa"/>
            <w:vAlign w:val="center"/>
          </w:tcPr>
          <w:p w14:paraId="7EF4AB36">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速度（m/s）≥</w:t>
            </w:r>
          </w:p>
        </w:tc>
        <w:tc>
          <w:tcPr>
            <w:tcW w:w="1756" w:type="dxa"/>
            <w:vAlign w:val="center"/>
          </w:tcPr>
          <w:p w14:paraId="28724932">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层/站/门</w:t>
            </w:r>
          </w:p>
        </w:tc>
        <w:tc>
          <w:tcPr>
            <w:tcW w:w="1756" w:type="dxa"/>
            <w:vAlign w:val="center"/>
          </w:tcPr>
          <w:p w14:paraId="05263D70">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是否为无机房</w:t>
            </w:r>
          </w:p>
        </w:tc>
        <w:tc>
          <w:tcPr>
            <w:tcW w:w="1756" w:type="dxa"/>
            <w:vAlign w:val="center"/>
          </w:tcPr>
          <w:p w14:paraId="296F1741">
            <w:pPr>
              <w:jc w:val="center"/>
              <w:rPr>
                <w:rFonts w:hint="eastAsia" w:ascii="宋体" w:hAnsi="宋体" w:eastAsia="宋体" w:cs="宋体"/>
                <w:b/>
                <w:bCs/>
                <w:sz w:val="24"/>
                <w:szCs w:val="24"/>
                <w:vertAlign w:val="baseline"/>
                <w:lang w:val="en-US" w:eastAsia="zh-CN"/>
              </w:rPr>
            </w:pPr>
            <w:r>
              <w:rPr>
                <w:rFonts w:hint="eastAsia" w:ascii="宋体" w:hAnsi="宋体" w:eastAsia="宋体" w:cs="宋体"/>
                <w:b/>
                <w:bCs/>
                <w:sz w:val="24"/>
                <w:szCs w:val="24"/>
                <w:vertAlign w:val="baseline"/>
                <w:lang w:val="en-US" w:eastAsia="zh-CN"/>
              </w:rPr>
              <w:t>数量（台）</w:t>
            </w:r>
          </w:p>
        </w:tc>
      </w:tr>
      <w:tr w14:paraId="4818F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Align w:val="center"/>
          </w:tcPr>
          <w:p w14:paraId="2247D9D6">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半圆观光电梯</w:t>
            </w:r>
          </w:p>
        </w:tc>
        <w:tc>
          <w:tcPr>
            <w:tcW w:w="1755" w:type="dxa"/>
            <w:vAlign w:val="center"/>
          </w:tcPr>
          <w:p w14:paraId="3F78905D">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1000</w:t>
            </w:r>
          </w:p>
        </w:tc>
        <w:tc>
          <w:tcPr>
            <w:tcW w:w="1756" w:type="dxa"/>
            <w:vAlign w:val="center"/>
          </w:tcPr>
          <w:p w14:paraId="501F808E">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c>
          <w:tcPr>
            <w:tcW w:w="1756" w:type="dxa"/>
            <w:vAlign w:val="center"/>
          </w:tcPr>
          <w:p w14:paraId="02D0C17B">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2层/2站/2门</w:t>
            </w:r>
          </w:p>
        </w:tc>
        <w:tc>
          <w:tcPr>
            <w:tcW w:w="1756" w:type="dxa"/>
            <w:vAlign w:val="center"/>
          </w:tcPr>
          <w:p w14:paraId="65DA566C">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756" w:type="dxa"/>
            <w:vAlign w:val="center"/>
          </w:tcPr>
          <w:p w14:paraId="739D5A89">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56FCD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5" w:type="dxa"/>
            <w:vAlign w:val="center"/>
          </w:tcPr>
          <w:p w14:paraId="48993533">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半圆观光电梯</w:t>
            </w:r>
          </w:p>
        </w:tc>
        <w:tc>
          <w:tcPr>
            <w:tcW w:w="1755" w:type="dxa"/>
            <w:vAlign w:val="center"/>
          </w:tcPr>
          <w:p w14:paraId="78D444E8">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1000</w:t>
            </w:r>
          </w:p>
        </w:tc>
        <w:tc>
          <w:tcPr>
            <w:tcW w:w="1756" w:type="dxa"/>
            <w:vAlign w:val="center"/>
          </w:tcPr>
          <w:p w14:paraId="5BD03AFF">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w:t>
            </w:r>
          </w:p>
        </w:tc>
        <w:tc>
          <w:tcPr>
            <w:tcW w:w="1756" w:type="dxa"/>
            <w:vAlign w:val="center"/>
          </w:tcPr>
          <w:p w14:paraId="12E28BA3">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2层/2站/2门</w:t>
            </w:r>
          </w:p>
        </w:tc>
        <w:tc>
          <w:tcPr>
            <w:tcW w:w="1756" w:type="dxa"/>
            <w:vAlign w:val="center"/>
          </w:tcPr>
          <w:p w14:paraId="52B09BDF">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是</w:t>
            </w:r>
          </w:p>
        </w:tc>
        <w:tc>
          <w:tcPr>
            <w:tcW w:w="1756" w:type="dxa"/>
            <w:vAlign w:val="center"/>
          </w:tcPr>
          <w:p w14:paraId="70F4A0AE">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r>
      <w:tr w14:paraId="61D7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8" w:type="dxa"/>
            <w:gridSpan w:val="5"/>
            <w:vAlign w:val="center"/>
          </w:tcPr>
          <w:p w14:paraId="409083B1">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1756" w:type="dxa"/>
            <w:vAlign w:val="center"/>
          </w:tcPr>
          <w:p w14:paraId="469C4CC8">
            <w:pPr>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w:t>
            </w:r>
          </w:p>
        </w:tc>
      </w:tr>
    </w:tbl>
    <w:p w14:paraId="5C78D296">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注：</w:t>
      </w:r>
      <w:r>
        <w:rPr>
          <w:rFonts w:hint="eastAsia" w:ascii="宋体" w:hAnsi="宋体" w:eastAsia="宋体" w:cs="宋体"/>
          <w:b/>
          <w:color w:val="000000"/>
          <w:sz w:val="24"/>
          <w:szCs w:val="24"/>
        </w:rPr>
        <w:t>★（1）技术参数中，电梯类型、层/站/门、数量需按要求完全响应。</w:t>
      </w:r>
    </w:p>
    <w:p w14:paraId="0F06E903">
      <w:pPr>
        <w:pStyle w:val="63"/>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★（2）载重、速度需≥对应数值。</w:t>
      </w:r>
    </w:p>
    <w:p w14:paraId="6A472C22">
      <w:pPr>
        <w:pStyle w:val="63"/>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3</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highlight w:val="none"/>
        </w:rPr>
        <w:t>所有电梯轿厢内尺寸（宽×深×高）（mm）在技术规格与参数尺寸范围内大于时要满足相关规范和现场安装条件，达到验收标准。</w:t>
      </w:r>
    </w:p>
    <w:p w14:paraId="3F5EE876">
      <w:pPr>
        <w:pStyle w:val="63"/>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4</w:t>
      </w:r>
      <w:r>
        <w:rPr>
          <w:rFonts w:hint="eastAsia" w:ascii="宋体" w:hAnsi="宋体" w:eastAsia="宋体" w:cs="宋体"/>
          <w:b/>
          <w:color w:val="000000"/>
          <w:sz w:val="24"/>
          <w:szCs w:val="24"/>
        </w:rPr>
        <w:t>）其他数据详见技术参数表。</w:t>
      </w:r>
    </w:p>
    <w:p w14:paraId="1CC87056">
      <w:pP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2、技术参数要求：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6"/>
        <w:gridCol w:w="7204"/>
      </w:tblGrid>
      <w:tr w14:paraId="2778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26" w:type="dxa"/>
          </w:tcPr>
          <w:p w14:paraId="746509E3">
            <w:pPr>
              <w:pStyle w:val="2"/>
              <w:rPr>
                <w:rFonts w:hint="eastAsia" w:ascii="宋体" w:hAnsi="宋体" w:eastAsia="宋体" w:cs="宋体"/>
                <w:sz w:val="24"/>
                <w:szCs w:val="24"/>
                <w:vertAlign w:val="baseline"/>
                <w:lang w:val="en-US" w:eastAsia="zh-CN"/>
              </w:rPr>
            </w:pPr>
          </w:p>
        </w:tc>
        <w:tc>
          <w:tcPr>
            <w:tcW w:w="7204" w:type="dxa"/>
            <w:vAlign w:val="center"/>
          </w:tcPr>
          <w:p w14:paraId="337C3BF7">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半圆观光电梯</w:t>
            </w:r>
          </w:p>
        </w:tc>
      </w:tr>
      <w:tr w14:paraId="2F22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0A6646CC">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电梯停层</w:t>
            </w:r>
          </w:p>
        </w:tc>
        <w:tc>
          <w:tcPr>
            <w:tcW w:w="7204" w:type="dxa"/>
            <w:vAlign w:val="center"/>
          </w:tcPr>
          <w:p w14:paraId="4AC72364">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2层/2站/2门</w:t>
            </w:r>
          </w:p>
        </w:tc>
      </w:tr>
      <w:tr w14:paraId="5E5C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6E316D8B">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停靠层序</w:t>
            </w:r>
          </w:p>
        </w:tc>
        <w:tc>
          <w:tcPr>
            <w:tcW w:w="7204" w:type="dxa"/>
            <w:vAlign w:val="center"/>
          </w:tcPr>
          <w:p w14:paraId="403AD5B5">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1F-2F</w:t>
            </w:r>
          </w:p>
        </w:tc>
      </w:tr>
      <w:tr w14:paraId="4A3B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433C4F18">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电梯行程（提升高度）</w:t>
            </w:r>
          </w:p>
        </w:tc>
        <w:tc>
          <w:tcPr>
            <w:tcW w:w="7204" w:type="dxa"/>
            <w:vAlign w:val="center"/>
          </w:tcPr>
          <w:p w14:paraId="59250773">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5m（以现场实际测量为准）</w:t>
            </w:r>
          </w:p>
        </w:tc>
      </w:tr>
      <w:tr w14:paraId="3E79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6DD7A389">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电梯速度</w:t>
            </w:r>
          </w:p>
        </w:tc>
        <w:tc>
          <w:tcPr>
            <w:tcW w:w="7204" w:type="dxa"/>
            <w:vAlign w:val="center"/>
          </w:tcPr>
          <w:p w14:paraId="57591889">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≥1m/s</w:t>
            </w:r>
          </w:p>
        </w:tc>
      </w:tr>
      <w:tr w14:paraId="6257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373E5782">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电梯载重</w:t>
            </w:r>
          </w:p>
        </w:tc>
        <w:tc>
          <w:tcPr>
            <w:tcW w:w="7204" w:type="dxa"/>
            <w:vAlign w:val="center"/>
          </w:tcPr>
          <w:p w14:paraId="40F5AB21">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≥1000kg</w:t>
            </w:r>
          </w:p>
        </w:tc>
      </w:tr>
      <w:tr w14:paraId="28F6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4E1C0392">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电源</w:t>
            </w:r>
          </w:p>
        </w:tc>
        <w:tc>
          <w:tcPr>
            <w:tcW w:w="7204" w:type="dxa"/>
            <w:vAlign w:val="center"/>
          </w:tcPr>
          <w:p w14:paraId="3C008C76">
            <w:pPr>
              <w:pStyle w:val="2"/>
              <w:jc w:val="left"/>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三相五线制  AC380V±5% 50HZ</w:t>
            </w:r>
            <w:r>
              <w:rPr>
                <w:rFonts w:hint="eastAsia" w:hAnsi="宋体" w:cs="宋体"/>
                <w:sz w:val="24"/>
                <w:szCs w:val="24"/>
                <w:vertAlign w:val="baseline"/>
                <w:lang w:val="en-US" w:eastAsia="zh-CN"/>
              </w:rPr>
              <w:t xml:space="preserve">  双电源</w:t>
            </w:r>
          </w:p>
        </w:tc>
      </w:tr>
      <w:tr w14:paraId="0008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1E06E34E">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驱动方式</w:t>
            </w:r>
          </w:p>
        </w:tc>
        <w:tc>
          <w:tcPr>
            <w:tcW w:w="7204" w:type="dxa"/>
            <w:vAlign w:val="center"/>
          </w:tcPr>
          <w:p w14:paraId="545B4047">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永磁同步</w:t>
            </w:r>
          </w:p>
        </w:tc>
      </w:tr>
      <w:tr w14:paraId="306E0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3C9F553E">
            <w:pPr>
              <w:pStyle w:val="2"/>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电梯井道尺寸</w:t>
            </w:r>
          </w:p>
        </w:tc>
        <w:tc>
          <w:tcPr>
            <w:tcW w:w="7204" w:type="dxa"/>
            <w:vAlign w:val="center"/>
          </w:tcPr>
          <w:p w14:paraId="3A3D196D">
            <w:pPr>
              <w:pStyle w:val="2"/>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加建钢结构井道，按照国家电梯标准（以满足现场实际为准）</w:t>
            </w:r>
          </w:p>
        </w:tc>
      </w:tr>
      <w:tr w14:paraId="0278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22AC0C83">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电梯机房</w:t>
            </w:r>
          </w:p>
        </w:tc>
        <w:tc>
          <w:tcPr>
            <w:tcW w:w="7204" w:type="dxa"/>
            <w:vAlign w:val="center"/>
          </w:tcPr>
          <w:p w14:paraId="57EF55A4">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无机房</w:t>
            </w:r>
          </w:p>
        </w:tc>
      </w:tr>
      <w:tr w14:paraId="619A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47E4D700">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开门方式</w:t>
            </w:r>
          </w:p>
        </w:tc>
        <w:tc>
          <w:tcPr>
            <w:tcW w:w="7204" w:type="dxa"/>
            <w:vAlign w:val="center"/>
          </w:tcPr>
          <w:p w14:paraId="3561E779">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中分开门</w:t>
            </w:r>
          </w:p>
        </w:tc>
      </w:tr>
      <w:tr w14:paraId="758C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309426CD">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开门尺寸（宽×高）</w:t>
            </w:r>
          </w:p>
        </w:tc>
        <w:tc>
          <w:tcPr>
            <w:tcW w:w="7204" w:type="dxa"/>
            <w:vAlign w:val="center"/>
          </w:tcPr>
          <w:p w14:paraId="288FCADD">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900×2100mm</w:t>
            </w:r>
          </w:p>
        </w:tc>
      </w:tr>
      <w:tr w14:paraId="567D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57762266">
            <w:pPr>
              <w:pStyle w:val="2"/>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底坑深度</w:t>
            </w:r>
          </w:p>
        </w:tc>
        <w:tc>
          <w:tcPr>
            <w:tcW w:w="7204" w:type="dxa"/>
            <w:vAlign w:val="center"/>
          </w:tcPr>
          <w:p w14:paraId="43C98FDC">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4.6m</w:t>
            </w:r>
          </w:p>
        </w:tc>
      </w:tr>
      <w:tr w14:paraId="7BB6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50E7F332">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轿厢尺寸（宽×深）</w:t>
            </w:r>
          </w:p>
        </w:tc>
        <w:tc>
          <w:tcPr>
            <w:tcW w:w="7204" w:type="dxa"/>
            <w:vAlign w:val="center"/>
          </w:tcPr>
          <w:p w14:paraId="249456A5">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1400×1800mm</w:t>
            </w:r>
          </w:p>
        </w:tc>
      </w:tr>
      <w:tr w14:paraId="0C29E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0CE6A3B2">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控制系统</w:t>
            </w:r>
          </w:p>
        </w:tc>
        <w:tc>
          <w:tcPr>
            <w:tcW w:w="7204" w:type="dxa"/>
            <w:vAlign w:val="center"/>
          </w:tcPr>
          <w:p w14:paraId="3D7AD603">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控制方式：单控</w:t>
            </w:r>
          </w:p>
          <w:p w14:paraId="3DC20D6E">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主机控制系统：厂家自研控制系统</w:t>
            </w:r>
          </w:p>
          <w:p w14:paraId="195A434D">
            <w:pPr>
              <w:jc w:val="left"/>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门系统：变频</w:t>
            </w:r>
          </w:p>
        </w:tc>
      </w:tr>
      <w:tr w14:paraId="44DD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7A99043F">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指示系统</w:t>
            </w:r>
          </w:p>
        </w:tc>
        <w:tc>
          <w:tcPr>
            <w:tcW w:w="7204" w:type="dxa"/>
            <w:vAlign w:val="center"/>
          </w:tcPr>
          <w:p w14:paraId="78E59175">
            <w:pPr>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轿厢位置运行方向显示：指示轿厢运行方向</w:t>
            </w:r>
          </w:p>
          <w:p w14:paraId="6D058937">
            <w:pPr>
              <w:pStyle w:val="2"/>
              <w:jc w:val="left"/>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故障显示自诊断功能：电梯出现故障时，记录故障代码</w:t>
            </w:r>
          </w:p>
        </w:tc>
      </w:tr>
      <w:tr w14:paraId="77463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0922B31D">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功能</w:t>
            </w:r>
          </w:p>
        </w:tc>
        <w:tc>
          <w:tcPr>
            <w:tcW w:w="7204" w:type="dxa"/>
            <w:vAlign w:val="center"/>
          </w:tcPr>
          <w:p w14:paraId="12FF8040">
            <w:pPr>
              <w:pStyle w:val="2"/>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到站提示功能：电梯到站后语音提醒</w:t>
            </w:r>
          </w:p>
          <w:p w14:paraId="50BB3293">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呼梯应答功能：按下呼梯按钮，被呼楼层按钮数字指示灯亮，到站后撤消记忆，指示灯灭</w:t>
            </w:r>
          </w:p>
          <w:p w14:paraId="16E82BBA">
            <w:pPr>
              <w:rPr>
                <w:rFonts w:hint="default"/>
                <w:lang w:val="en-US" w:eastAsia="zh-CN"/>
              </w:rPr>
            </w:pPr>
            <w:r>
              <w:rPr>
                <w:rFonts w:hint="eastAsia" w:ascii="宋体" w:hAnsi="宋体" w:cs="宋体"/>
                <w:sz w:val="24"/>
                <w:szCs w:val="24"/>
                <w:vertAlign w:val="baseline"/>
                <w:lang w:val="en-US" w:eastAsia="zh-CN"/>
              </w:rPr>
              <w:t>含消防电梯功能</w:t>
            </w:r>
          </w:p>
        </w:tc>
      </w:tr>
      <w:tr w14:paraId="6724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7DB32746">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装修标准</w:t>
            </w:r>
          </w:p>
        </w:tc>
        <w:tc>
          <w:tcPr>
            <w:tcW w:w="7204" w:type="dxa"/>
            <w:vAlign w:val="center"/>
          </w:tcPr>
          <w:p w14:paraId="3CAA37AA">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各层厅门：</w:t>
            </w:r>
            <w:r>
              <w:rPr>
                <w:rFonts w:hint="eastAsia" w:ascii="宋体" w:hAnsi="宋体" w:eastAsia="宋体" w:cs="宋体"/>
                <w:color w:val="FF0000"/>
                <w:sz w:val="24"/>
                <w:szCs w:val="24"/>
                <w:vertAlign w:val="baseline"/>
                <w:lang w:val="en-US" w:eastAsia="zh-CN"/>
              </w:rPr>
              <w:t>304发纹不锈钢</w:t>
            </w:r>
            <w:r>
              <w:rPr>
                <w:rFonts w:hint="eastAsia" w:ascii="宋体" w:hAnsi="宋体" w:eastAsia="宋体" w:cs="宋体"/>
                <w:sz w:val="24"/>
                <w:szCs w:val="24"/>
                <w:vertAlign w:val="baseline"/>
                <w:lang w:val="en-US" w:eastAsia="zh-CN"/>
              </w:rPr>
              <w:t>，小门套</w:t>
            </w:r>
          </w:p>
          <w:p w14:paraId="2B99F1E5">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轿厢门：</w:t>
            </w:r>
            <w:r>
              <w:rPr>
                <w:rFonts w:hint="eastAsia" w:ascii="宋体" w:hAnsi="宋体" w:eastAsia="宋体" w:cs="宋体"/>
                <w:color w:val="FF0000"/>
                <w:sz w:val="24"/>
                <w:szCs w:val="24"/>
                <w:vertAlign w:val="baseline"/>
                <w:lang w:val="en-US" w:eastAsia="zh-CN"/>
              </w:rPr>
              <w:t>304发纹不锈钢</w:t>
            </w:r>
            <w:r>
              <w:rPr>
                <w:rFonts w:hint="eastAsia" w:ascii="宋体" w:hAnsi="宋体" w:eastAsia="宋体" w:cs="宋体"/>
                <w:sz w:val="24"/>
                <w:szCs w:val="24"/>
                <w:vertAlign w:val="baseline"/>
                <w:lang w:val="en-US" w:eastAsia="zh-CN"/>
              </w:rPr>
              <w:t>，小门套</w:t>
            </w:r>
          </w:p>
          <w:p w14:paraId="646F54BC">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轿厢内地面：单色大理石</w:t>
            </w:r>
            <w:r>
              <w:rPr>
                <w:rFonts w:hint="eastAsia" w:ascii="宋体" w:hAnsi="宋体" w:cs="宋体"/>
                <w:color w:val="FF0000"/>
                <w:sz w:val="24"/>
                <w:szCs w:val="24"/>
                <w:vertAlign w:val="baseline"/>
                <w:lang w:val="en-US" w:eastAsia="zh-CN"/>
              </w:rPr>
              <w:t>（附图：厚度按厂家标配，最终以采购人实际要求确定）</w:t>
            </w:r>
          </w:p>
          <w:p w14:paraId="1E437A4A">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轿厢壁：</w:t>
            </w:r>
            <w:r>
              <w:rPr>
                <w:rFonts w:hint="eastAsia" w:ascii="宋体" w:hAnsi="宋体" w:eastAsia="宋体" w:cs="宋体"/>
                <w:color w:val="FF0000"/>
                <w:sz w:val="24"/>
                <w:szCs w:val="24"/>
                <w:vertAlign w:val="baseline"/>
                <w:lang w:val="en-US" w:eastAsia="zh-CN"/>
              </w:rPr>
              <w:t>304发纹不锈钢</w:t>
            </w:r>
            <w:r>
              <w:rPr>
                <w:rFonts w:hint="eastAsia" w:ascii="宋体" w:hAnsi="宋体" w:eastAsia="宋体" w:cs="宋体"/>
                <w:sz w:val="24"/>
                <w:szCs w:val="24"/>
                <w:vertAlign w:val="baseline"/>
                <w:lang w:val="en-US" w:eastAsia="zh-CN"/>
              </w:rPr>
              <w:t>，半圆观光</w:t>
            </w:r>
          </w:p>
          <w:p w14:paraId="3DF4817F">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地坎：硬质铝合金</w:t>
            </w:r>
          </w:p>
          <w:p w14:paraId="40065C08">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配备扶手</w:t>
            </w:r>
            <w:r>
              <w:rPr>
                <w:rFonts w:hint="eastAsia" w:ascii="宋体" w:hAnsi="宋体" w:eastAsia="宋体" w:cs="宋体"/>
                <w:color w:val="FF0000"/>
                <w:sz w:val="24"/>
                <w:szCs w:val="24"/>
                <w:vertAlign w:val="baseline"/>
                <w:lang w:val="en-US" w:eastAsia="zh-CN"/>
              </w:rPr>
              <w:t>（按观光面标配）</w:t>
            </w:r>
          </w:p>
          <w:p w14:paraId="173F237A">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配备吊顶天花照明</w:t>
            </w:r>
            <w:r>
              <w:rPr>
                <w:rFonts w:hint="eastAsia" w:ascii="宋体" w:hAnsi="宋体" w:eastAsia="宋体" w:cs="宋体"/>
                <w:color w:val="FF0000"/>
                <w:sz w:val="24"/>
                <w:szCs w:val="24"/>
                <w:vertAlign w:val="baseline"/>
                <w:lang w:val="en-US" w:eastAsia="zh-CN"/>
              </w:rPr>
              <w:t>（304发纹不锈钢加筒灯）</w:t>
            </w:r>
          </w:p>
          <w:p w14:paraId="0C219490">
            <w:pPr>
              <w:rPr>
                <w:rFonts w:hint="eastAsia" w:ascii="宋体" w:hAnsi="宋体" w:eastAsia="宋体" w:cs="宋体"/>
                <w:sz w:val="24"/>
                <w:szCs w:val="24"/>
                <w:lang w:val="en-US" w:eastAsia="zh-CN"/>
              </w:rPr>
            </w:pPr>
            <w:r>
              <w:rPr>
                <w:rFonts w:hint="eastAsia" w:ascii="宋体" w:hAnsi="宋体" w:eastAsia="宋体" w:cs="宋体"/>
                <w:color w:val="FF0000"/>
                <w:sz w:val="24"/>
                <w:szCs w:val="24"/>
                <w:vertAlign w:val="baseline"/>
                <w:lang w:val="en-US" w:eastAsia="zh-CN"/>
              </w:rPr>
              <w:t>配备操纵箱：一体式</w:t>
            </w:r>
          </w:p>
        </w:tc>
      </w:tr>
      <w:tr w14:paraId="4370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6" w:type="dxa"/>
            <w:vAlign w:val="center"/>
          </w:tcPr>
          <w:p w14:paraId="432086C2">
            <w:pPr>
              <w:pStyle w:val="2"/>
              <w:ind w:left="0" w:leftChars="0" w:firstLine="0" w:firstLine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其他要求</w:t>
            </w:r>
          </w:p>
        </w:tc>
        <w:tc>
          <w:tcPr>
            <w:tcW w:w="7204" w:type="dxa"/>
            <w:vAlign w:val="center"/>
          </w:tcPr>
          <w:p w14:paraId="108EF0DE">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配备残疾人操纵箱</w:t>
            </w:r>
          </w:p>
          <w:p w14:paraId="67D861CA">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配备盲文按钮</w:t>
            </w:r>
          </w:p>
          <w:p w14:paraId="129BCFF6">
            <w:pPr>
              <w:pStyle w:val="3"/>
              <w:ind w:left="0" w:leftChars="0" w:firstLine="0" w:firstLineChars="0"/>
              <w:jc w:val="left"/>
              <w:rPr>
                <w:rFonts w:hint="eastAsia" w:ascii="宋体" w:hAnsi="宋体" w:eastAsia="宋体" w:cs="宋体"/>
                <w:color w:val="FF0000"/>
                <w:sz w:val="24"/>
                <w:szCs w:val="24"/>
                <w:vertAlign w:val="baseline"/>
                <w:lang w:val="en-US" w:eastAsia="zh-CN"/>
              </w:rPr>
            </w:pPr>
            <w:r>
              <w:rPr>
                <w:rFonts w:hint="eastAsia" w:ascii="宋体" w:hAnsi="宋体" w:eastAsia="宋体" w:cs="宋体"/>
                <w:sz w:val="24"/>
                <w:szCs w:val="24"/>
                <w:vertAlign w:val="baseline"/>
                <w:lang w:val="en-US" w:eastAsia="zh-CN"/>
              </w:rPr>
              <w:t>配备无线五方通话（包含布线、接通、调试等），</w:t>
            </w:r>
            <w:r>
              <w:rPr>
                <w:rFonts w:hint="eastAsia" w:ascii="宋体" w:hAnsi="宋体" w:eastAsia="宋体" w:cs="宋体"/>
                <w:color w:val="FF0000"/>
                <w:sz w:val="24"/>
                <w:szCs w:val="24"/>
                <w:vertAlign w:val="baseline"/>
                <w:lang w:val="en-US" w:eastAsia="zh-CN"/>
              </w:rPr>
              <w:t>要求接到监控室，安装摄像机</w:t>
            </w:r>
          </w:p>
          <w:p w14:paraId="2ED6C85F">
            <w:pPr>
              <w:pStyle w:val="3"/>
              <w:ind w:left="0" w:leftChars="0" w:firstLine="0" w:firstLineChars="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配备轿厢空调</w:t>
            </w:r>
          </w:p>
          <w:p w14:paraId="79A03555">
            <w:pPr>
              <w:pStyle w:val="3"/>
              <w:ind w:left="0" w:leftChars="0" w:firstLine="0" w:firstLineChars="0"/>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配备上电再平层：由于断电引起轿厢停在门区范围内，当电源恢复后轿厢将在平层到平层位置</w:t>
            </w:r>
          </w:p>
          <w:p w14:paraId="0C1B2BBF">
            <w:pPr>
              <w:pStyle w:val="3"/>
              <w:ind w:left="0" w:leftChars="0" w:firstLine="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highlight w:val="none"/>
                <w:vertAlign w:val="baseline"/>
                <w:lang w:val="en-US" w:eastAsia="zh-CN"/>
              </w:rPr>
              <w:t>配备电梯远程监控系统：将电梯数据传至厂家处理器，对电梯实行实时监控，及时发现故障并做出响应。</w:t>
            </w:r>
          </w:p>
        </w:tc>
      </w:tr>
    </w:tbl>
    <w:p w14:paraId="1BE3C010">
      <w:pPr>
        <w:pStyle w:val="3"/>
        <w:keepNext w:val="0"/>
        <w:keepLines w:val="0"/>
        <w:pageBreakBefore w:val="0"/>
        <w:kinsoku/>
        <w:wordWrap/>
        <w:overflowPunct/>
        <w:topLinePunct w:val="0"/>
        <w:bidi w:val="0"/>
        <w:snapToGrid/>
        <w:spacing w:line="360" w:lineRule="auto"/>
        <w:ind w:left="0" w:leftChars="0" w:right="0" w:firstLine="0" w:firstLineChars="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电梯必须符合制作标准：国家GB7588-2003《电梯制造与安全规范》标准及GB10058《电梯技术条件》</w:t>
      </w:r>
    </w:p>
    <w:p w14:paraId="5466694E">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right="0" w:rightChars="0" w:firstLine="480" w:firstLineChars="200"/>
        <w:textAlignment w:val="baseline"/>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3、土建部分：包含底坑施工，楼板打凿，天花及2楼护栏切割，负一楼做底坑且做围蔽处理，1F-2F加建钢结构井道，</w:t>
      </w:r>
      <w:r>
        <w:rPr>
          <w:rFonts w:hint="eastAsia" w:ascii="宋体" w:hAnsi="宋体" w:eastAsia="宋体" w:cs="宋体"/>
          <w:color w:val="FF0000"/>
          <w:kern w:val="0"/>
          <w:sz w:val="24"/>
          <w:szCs w:val="24"/>
          <w:lang w:val="en-US" w:eastAsia="zh-CN" w:bidi="ar-SA"/>
        </w:rPr>
        <w:t>首层外围做符合国家标准规定的玻璃防护围挡（高度通常应设置1.1-1.5m之间）</w:t>
      </w:r>
      <w:r>
        <w:rPr>
          <w:rFonts w:hint="eastAsia" w:ascii="宋体" w:hAnsi="宋体" w:eastAsia="宋体" w:cs="宋体"/>
          <w:kern w:val="0"/>
          <w:sz w:val="24"/>
          <w:szCs w:val="24"/>
          <w:lang w:val="en-US" w:eastAsia="zh-CN" w:bidi="ar-SA"/>
        </w:rPr>
        <w:t>，电梯安装后需对所破坏的楼板以及门洞进行修复，厅门口地面门坎石重新铺设；2楼处做2m*2m连廊，厅门口缝隙修复（5mm以内可采用玻璃胶，超过或大于采用发纹不锈钢包边），中间背景墙修复等。</w:t>
      </w:r>
    </w:p>
    <w:p w14:paraId="2EA21A0F">
      <w:pPr>
        <w:pStyle w:val="3"/>
        <w:keepNext w:val="0"/>
        <w:keepLines w:val="0"/>
        <w:pageBreakBefore w:val="0"/>
        <w:widowControl w:val="0"/>
        <w:numPr>
          <w:ilvl w:val="0"/>
          <w:numId w:val="0"/>
        </w:numPr>
        <w:kinsoku/>
        <w:wordWrap/>
        <w:overflowPunct/>
        <w:topLinePunct w:val="0"/>
        <w:autoSpaceDE/>
        <w:autoSpaceDN/>
        <w:bidi w:val="0"/>
        <w:adjustRightInd/>
        <w:snapToGrid/>
        <w:ind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五、货物要求</w:t>
      </w:r>
    </w:p>
    <w:p w14:paraId="76B94C42">
      <w:pPr>
        <w:keepNext w:val="0"/>
        <w:keepLines w:val="0"/>
        <w:pageBreakBefore w:val="0"/>
        <w:kinsoku/>
        <w:wordWrap/>
        <w:overflowPunct/>
        <w:topLinePunct w:val="0"/>
        <w:bidi w:val="0"/>
        <w:snapToGrid/>
        <w:spacing w:line="360" w:lineRule="auto"/>
        <w:ind w:left="0" w:leftChars="0" w:right="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1、包装、运输</w:t>
      </w:r>
    </w:p>
    <w:p w14:paraId="1DFBFD25">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color w:val="000000"/>
          <w:sz w:val="24"/>
          <w:szCs w:val="24"/>
        </w:rPr>
        <w:t>包装箱内应有下列随箱资料：装箱单、产品合格证（包括出厂试验数据）、产品检验记录、产品使用中文说明书、设备装配图、随箱清单等。</w:t>
      </w:r>
    </w:p>
    <w:p w14:paraId="7FB1CD7F">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.2供应商负责所有设备从出厂到安装现场的运输，包括一次和二次运输（包括水平和垂直）的提运、吊装、就位等工作。</w:t>
      </w:r>
    </w:p>
    <w:p w14:paraId="07C9107F">
      <w:pPr>
        <w:pStyle w:val="2"/>
        <w:keepNext w:val="0"/>
        <w:keepLines w:val="0"/>
        <w:pageBreakBefore w:val="0"/>
        <w:kinsoku/>
        <w:wordWrap/>
        <w:overflowPunct/>
        <w:topLinePunct w:val="0"/>
        <w:bidi w:val="0"/>
        <w:snapToGrid/>
        <w:spacing w:line="360" w:lineRule="auto"/>
        <w:ind w:left="0" w:leftChars="0" w:righ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.3设备的现场保管由中标单位负责，直至电梯安装、验交完毕。</w:t>
      </w:r>
    </w:p>
    <w:p w14:paraId="3AE332C1">
      <w:pPr>
        <w:pStyle w:val="3"/>
        <w:keepNext w:val="0"/>
        <w:keepLines w:val="0"/>
        <w:pageBreakBefore w:val="0"/>
        <w:numPr>
          <w:ilvl w:val="0"/>
          <w:numId w:val="0"/>
        </w:numPr>
        <w:kinsoku/>
        <w:wordWrap/>
        <w:overflowPunct/>
        <w:topLinePunct w:val="0"/>
        <w:bidi w:val="0"/>
        <w:snapToGrid/>
        <w:spacing w:line="360" w:lineRule="auto"/>
        <w:ind w:left="0" w:leftChars="0" w:right="0" w:rightChars="0"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color w:val="000000"/>
          <w:sz w:val="24"/>
          <w:szCs w:val="24"/>
          <w:lang w:val="en-US" w:eastAsia="zh-CN"/>
        </w:rPr>
        <w:t>供货要求</w:t>
      </w:r>
    </w:p>
    <w:p w14:paraId="4214C8C9">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2.1</w:t>
      </w:r>
      <w:r>
        <w:rPr>
          <w:rFonts w:hint="eastAsia" w:ascii="宋体" w:hAnsi="宋体" w:eastAsia="宋体" w:cs="宋体"/>
          <w:color w:val="000000"/>
          <w:sz w:val="24"/>
          <w:szCs w:val="24"/>
          <w:shd w:val="clear" w:fill="FFFFFF"/>
        </w:rPr>
        <w:t>设备应原厂原装全新，质量必须符合国家质量检测标准及环保、节能要求，且须提供设备来源于原厂家的出品证明文件、原厂保修证明文件。所有设备进场前必须有厂方证明、合格证书及检验报告等技术文件资料。</w:t>
      </w:r>
    </w:p>
    <w:p w14:paraId="07AD2B9C">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w:t>
      </w:r>
      <w:r>
        <w:rPr>
          <w:rFonts w:hint="eastAsia" w:ascii="宋体" w:hAnsi="宋体" w:eastAsia="宋体" w:cs="宋体"/>
          <w:color w:val="000000"/>
          <w:sz w:val="24"/>
          <w:szCs w:val="24"/>
          <w:shd w:val="clear" w:fill="FFFFFF"/>
        </w:rPr>
        <w:t>.2中标供应商提供的设备必须保证不侵犯任何第三方的专利、商标或版权。</w:t>
      </w:r>
    </w:p>
    <w:p w14:paraId="408F1ABE">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color w:val="000000"/>
          <w:sz w:val="24"/>
          <w:szCs w:val="24"/>
          <w:shd w:val="clear" w:fill="FFFFFF"/>
          <w:lang w:eastAsia="zh-CN"/>
        </w:rPr>
      </w:pPr>
      <w:r>
        <w:rPr>
          <w:rFonts w:hint="eastAsia" w:ascii="宋体" w:hAnsi="宋体" w:eastAsia="宋体" w:cs="宋体"/>
          <w:color w:val="000000"/>
          <w:sz w:val="24"/>
          <w:szCs w:val="24"/>
          <w:shd w:val="clear" w:fill="FFFFFF"/>
          <w:lang w:val="en-US" w:eastAsia="zh-CN"/>
        </w:rPr>
        <w:t>2</w:t>
      </w:r>
      <w:r>
        <w:rPr>
          <w:rFonts w:hint="eastAsia" w:ascii="宋体" w:hAnsi="宋体" w:eastAsia="宋体" w:cs="宋体"/>
          <w:color w:val="000000"/>
          <w:sz w:val="24"/>
          <w:szCs w:val="24"/>
          <w:shd w:val="clear" w:fill="FFFFFF"/>
        </w:rPr>
        <w:t>.3供应商可根据实际情况合理提前交付使用日期。设备到货及验收时需提供的资料</w:t>
      </w:r>
      <w:r>
        <w:rPr>
          <w:rFonts w:hint="eastAsia" w:ascii="宋体" w:hAnsi="宋体" w:eastAsia="宋体" w:cs="宋体"/>
          <w:color w:val="000000"/>
          <w:sz w:val="24"/>
          <w:szCs w:val="24"/>
          <w:shd w:val="clear" w:fill="FFFFFF"/>
          <w:lang w:eastAsia="zh-CN"/>
        </w:rPr>
        <w:t>：</w:t>
      </w:r>
    </w:p>
    <w:p w14:paraId="2D9A3F9D">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①设备的维修、保养手册；</w:t>
      </w:r>
    </w:p>
    <w:p w14:paraId="6B36057A">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②产品出厂检验合格证书；</w:t>
      </w:r>
    </w:p>
    <w:p w14:paraId="074452BD">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③设备到货清单；</w:t>
      </w:r>
    </w:p>
    <w:p w14:paraId="143BEE15">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④设备调试报告；</w:t>
      </w:r>
    </w:p>
    <w:p w14:paraId="33B24F21">
      <w:pPr>
        <w:pStyle w:val="63"/>
        <w:keepNext w:val="0"/>
        <w:keepLines w:val="0"/>
        <w:pageBreakBefore w:val="0"/>
        <w:kinsoku/>
        <w:wordWrap/>
        <w:overflowPunct/>
        <w:topLinePunct w:val="0"/>
        <w:bidi w:val="0"/>
        <w:snapToGrid/>
        <w:spacing w:line="360" w:lineRule="auto"/>
        <w:ind w:left="0" w:leftChars="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rPr>
        <w:t>⑤设备保修证明等。</w:t>
      </w:r>
    </w:p>
    <w:p w14:paraId="00644B6C">
      <w:pPr>
        <w:keepNext w:val="0"/>
        <w:keepLines w:val="0"/>
        <w:pageBreakBefore w:val="0"/>
        <w:numPr>
          <w:ilvl w:val="0"/>
          <w:numId w:val="0"/>
        </w:numPr>
        <w:kinsoku/>
        <w:wordWrap/>
        <w:overflowPunct/>
        <w:topLinePunct w:val="0"/>
        <w:bidi w:val="0"/>
        <w:snapToGrid/>
        <w:spacing w:line="360" w:lineRule="auto"/>
        <w:ind w:left="0" w:leftChars="0" w:right="0" w:rightChars="0" w:firstLine="480" w:firstLineChars="200"/>
        <w:rPr>
          <w:rFonts w:hint="eastAsia" w:ascii="宋体" w:hAnsi="宋体" w:eastAsia="宋体" w:cs="宋体"/>
          <w:color w:val="000000"/>
          <w:sz w:val="24"/>
          <w:szCs w:val="24"/>
          <w:shd w:val="clear" w:fill="FFFFFF"/>
          <w:lang w:eastAsia="zh-CN"/>
        </w:rPr>
      </w:pPr>
      <w:r>
        <w:rPr>
          <w:rFonts w:hint="eastAsia" w:ascii="宋体" w:hAnsi="宋体" w:eastAsia="宋体" w:cs="宋体"/>
          <w:color w:val="000000"/>
          <w:sz w:val="24"/>
          <w:szCs w:val="24"/>
          <w:shd w:val="clear" w:fill="FFFFFF"/>
          <w:lang w:val="en-US" w:eastAsia="zh-CN"/>
        </w:rPr>
        <w:t>2</w:t>
      </w:r>
      <w:r>
        <w:rPr>
          <w:rFonts w:hint="eastAsia" w:ascii="宋体" w:hAnsi="宋体" w:eastAsia="宋体" w:cs="宋体"/>
          <w:color w:val="000000"/>
          <w:sz w:val="24"/>
          <w:szCs w:val="24"/>
          <w:shd w:val="clear" w:fill="FFFFFF"/>
        </w:rPr>
        <w:t>.4供应商提供的电梯必须符合中华人民共和国现行有关规范和地方条例</w:t>
      </w:r>
      <w:r>
        <w:rPr>
          <w:rFonts w:hint="eastAsia" w:ascii="宋体" w:hAnsi="宋体" w:eastAsia="宋体" w:cs="宋体"/>
          <w:color w:val="000000"/>
          <w:sz w:val="24"/>
          <w:szCs w:val="24"/>
          <w:shd w:val="clear" w:fill="FFFFFF"/>
          <w:lang w:eastAsia="zh-CN"/>
        </w:rPr>
        <w:t>。</w:t>
      </w:r>
    </w:p>
    <w:p w14:paraId="59894113">
      <w:pPr>
        <w:pStyle w:val="2"/>
        <w:keepNext w:val="0"/>
        <w:keepLines w:val="0"/>
        <w:pageBreakBefore w:val="0"/>
        <w:kinsoku/>
        <w:wordWrap/>
        <w:overflowPunct/>
        <w:topLinePunct w:val="0"/>
        <w:bidi w:val="0"/>
        <w:snapToGrid/>
        <w:spacing w:line="360" w:lineRule="auto"/>
        <w:ind w:right="0"/>
        <w:rPr>
          <w:rFonts w:hint="eastAsia" w:ascii="宋体" w:hAnsi="宋体" w:eastAsia="宋体" w:cs="宋体"/>
          <w:b/>
          <w:bCs/>
          <w:sz w:val="24"/>
          <w:szCs w:val="24"/>
          <w:lang w:val="en-US" w:eastAsia="zh-CN"/>
        </w:rPr>
      </w:pPr>
      <w:r>
        <w:rPr>
          <w:rFonts w:hint="eastAsia" w:ascii="宋体" w:hAnsi="宋体" w:eastAsia="宋体" w:cs="宋体"/>
          <w:b/>
          <w:bCs/>
          <w:color w:val="000000"/>
          <w:sz w:val="24"/>
          <w:szCs w:val="24"/>
          <w:shd w:val="clear" w:fill="FFFFFF"/>
          <w:lang w:val="en-US" w:eastAsia="zh-CN"/>
        </w:rPr>
        <w:t>六、安装调试及验收要求</w:t>
      </w:r>
    </w:p>
    <w:p w14:paraId="6A591A1D">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1、</w:t>
      </w:r>
      <w:r>
        <w:rPr>
          <w:rFonts w:hint="eastAsia" w:ascii="宋体" w:hAnsi="宋体" w:eastAsia="宋体" w:cs="宋体"/>
          <w:color w:val="000000"/>
          <w:sz w:val="24"/>
          <w:szCs w:val="24"/>
          <w:shd w:val="clear" w:fill="FFFFFF"/>
        </w:rPr>
        <w:t>电梯安装须是具备国家有关部门颁发的电梯安装、维修资质的单位承担应由中标单位负责安装，其设备安装、维修保养、操作等作业的人员须持有《特种设备作业人员资格证书》。</w:t>
      </w:r>
    </w:p>
    <w:p w14:paraId="519D1D90">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w:t>
      </w:r>
      <w:r>
        <w:rPr>
          <w:rFonts w:hint="eastAsia" w:ascii="宋体" w:hAnsi="宋体" w:eastAsia="宋体" w:cs="宋体"/>
          <w:color w:val="000000"/>
          <w:sz w:val="24"/>
          <w:szCs w:val="24"/>
          <w:shd w:val="clear" w:fill="FFFFFF"/>
        </w:rPr>
        <w:t>电梯安装调试，包括以下内容：</w:t>
      </w:r>
    </w:p>
    <w:p w14:paraId="520BEFF5">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2.1</w:t>
      </w:r>
      <w:r>
        <w:rPr>
          <w:rFonts w:hint="eastAsia" w:ascii="宋体" w:hAnsi="宋体" w:eastAsia="宋体" w:cs="宋体"/>
          <w:color w:val="000000"/>
          <w:sz w:val="24"/>
          <w:szCs w:val="24"/>
          <w:shd w:val="clear" w:fill="FFFFFF"/>
        </w:rPr>
        <w:t>报装手续；</w:t>
      </w:r>
    </w:p>
    <w:p w14:paraId="2BD977A9">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2.2</w:t>
      </w:r>
      <w:r>
        <w:rPr>
          <w:rFonts w:hint="eastAsia" w:ascii="宋体" w:hAnsi="宋体" w:eastAsia="宋体" w:cs="宋体"/>
          <w:color w:val="000000"/>
          <w:sz w:val="24"/>
          <w:szCs w:val="24"/>
          <w:shd w:val="clear" w:fill="FFFFFF"/>
        </w:rPr>
        <w:t>安装、调试须按照国家标准和行业规范进行；</w:t>
      </w:r>
    </w:p>
    <w:p w14:paraId="3D6B9D30">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2.3</w:t>
      </w:r>
      <w:r>
        <w:rPr>
          <w:rFonts w:hint="eastAsia" w:ascii="宋体" w:hAnsi="宋体" w:eastAsia="宋体" w:cs="宋体"/>
          <w:color w:val="000000"/>
          <w:sz w:val="24"/>
          <w:szCs w:val="24"/>
          <w:shd w:val="clear" w:fill="FFFFFF"/>
        </w:rPr>
        <w:t>提供配重物配合进行电梯的满载运行，配合验收；</w:t>
      </w:r>
    </w:p>
    <w:p w14:paraId="3068C709">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2.4</w:t>
      </w:r>
      <w:r>
        <w:rPr>
          <w:rFonts w:hint="eastAsia" w:ascii="宋体" w:hAnsi="宋体" w:eastAsia="宋体" w:cs="宋体"/>
          <w:color w:val="000000"/>
          <w:sz w:val="24"/>
          <w:szCs w:val="24"/>
          <w:shd w:val="clear" w:fill="FFFFFF"/>
        </w:rPr>
        <w:t>交付采购人正式使用前，应做好电梯完工后的防护；</w:t>
      </w:r>
    </w:p>
    <w:p w14:paraId="1E66E46E">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sz w:val="24"/>
          <w:szCs w:val="24"/>
        </w:rPr>
      </w:pPr>
      <w:r>
        <w:rPr>
          <w:rFonts w:hint="eastAsia" w:ascii="宋体" w:hAnsi="宋体" w:eastAsia="宋体" w:cs="宋体"/>
          <w:color w:val="000000"/>
          <w:sz w:val="24"/>
          <w:szCs w:val="24"/>
          <w:shd w:val="clear" w:fill="FFFFFF"/>
          <w:lang w:val="en-US" w:eastAsia="zh-CN"/>
        </w:rPr>
        <w:t>2.5</w:t>
      </w:r>
      <w:r>
        <w:rPr>
          <w:rFonts w:hint="eastAsia" w:ascii="宋体" w:hAnsi="宋体" w:eastAsia="宋体" w:cs="宋体"/>
          <w:color w:val="000000"/>
          <w:sz w:val="24"/>
          <w:szCs w:val="24"/>
          <w:shd w:val="clear" w:fill="FFFFFF"/>
        </w:rPr>
        <w:t>施工期间遵守采购人有关制度，文明施工，负责为现场施工人员购买劳动保险和人身保险；做好电梯的施工安全及防护工作，如引起消防事故或人员伤亡事故，均由</w:t>
      </w:r>
      <w:r>
        <w:rPr>
          <w:rFonts w:hint="eastAsia" w:ascii="宋体" w:hAnsi="宋体" w:eastAsia="宋体" w:cs="宋体"/>
          <w:color w:val="000000"/>
          <w:sz w:val="24"/>
          <w:szCs w:val="24"/>
          <w:shd w:val="clear" w:fill="FFFFFF"/>
          <w:lang w:val="en-US" w:eastAsia="zh-CN"/>
        </w:rPr>
        <w:t>成交供应商</w:t>
      </w:r>
      <w:r>
        <w:rPr>
          <w:rFonts w:hint="eastAsia" w:ascii="宋体" w:hAnsi="宋体" w:eastAsia="宋体" w:cs="宋体"/>
          <w:color w:val="000000"/>
          <w:sz w:val="24"/>
          <w:szCs w:val="24"/>
          <w:shd w:val="clear" w:fill="FFFFFF"/>
        </w:rPr>
        <w:t>负责。</w:t>
      </w:r>
    </w:p>
    <w:p w14:paraId="748DEF8B">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3、验收：</w:t>
      </w:r>
    </w:p>
    <w:p w14:paraId="223341D9">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3.1货物为原制造商制造的全新产品，无污染，无侵权行为、表面无划损、无任何缺陷隐患，在中国境内可依常规安全合法使用。</w:t>
      </w:r>
    </w:p>
    <w:p w14:paraId="291B8444">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3.2中标人按有关标准提供货物的包装，并采用恰当的方式将货物运抵交货地点。</w:t>
      </w:r>
    </w:p>
    <w:p w14:paraId="3C6FFC0E">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3.3中标人负责货物到现场过程中的全部运输及费用，包括装卸车、货物现场的搬运，并负责其派出的人员人身意外保险。</w:t>
      </w:r>
    </w:p>
    <w:p w14:paraId="057B3214">
      <w:pPr>
        <w:pStyle w:val="63"/>
        <w:keepNext w:val="0"/>
        <w:keepLines w:val="0"/>
        <w:pageBreakBefore w:val="0"/>
        <w:kinsoku/>
        <w:wordWrap/>
        <w:overflowPunct/>
        <w:topLinePunct w:val="0"/>
        <w:bidi w:val="0"/>
        <w:snapToGrid/>
        <w:spacing w:line="360" w:lineRule="auto"/>
        <w:ind w:left="0" w:right="0" w:firstLine="480" w:firstLineChars="200"/>
        <w:jc w:val="both"/>
        <w:rPr>
          <w:rFonts w:hint="eastAsia" w:ascii="宋体" w:hAnsi="宋体" w:eastAsia="宋体" w:cs="宋体"/>
          <w:color w:val="000000"/>
          <w:sz w:val="24"/>
          <w:szCs w:val="24"/>
          <w:shd w:val="clear" w:fill="FFFFFF"/>
          <w:lang w:val="en-US" w:eastAsia="zh-CN"/>
        </w:rPr>
      </w:pPr>
      <w:r>
        <w:rPr>
          <w:rFonts w:hint="eastAsia" w:ascii="宋体" w:hAnsi="宋体" w:eastAsia="宋体" w:cs="宋体"/>
          <w:color w:val="000000"/>
          <w:sz w:val="24"/>
          <w:szCs w:val="24"/>
          <w:shd w:val="clear" w:fill="FFFFFF"/>
          <w:lang w:val="en-US" w:eastAsia="zh-CN"/>
        </w:rPr>
        <w:t>3.4交货时必须随附装箱单、备件明细表、货物正常使用所需的所有技术资料及使用说明书以及所供货物附有该批产品的产品质量合格证书或能说明质量达标的证明资料。</w:t>
      </w:r>
    </w:p>
    <w:p w14:paraId="32E652DA">
      <w:pPr>
        <w:pStyle w:val="63"/>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hAnsi="宋体" w:eastAsia="宋体" w:cs="宋体"/>
          <w:b/>
          <w:bCs/>
          <w:color w:val="000000"/>
          <w:sz w:val="24"/>
          <w:szCs w:val="24"/>
          <w:shd w:val="clear" w:fill="FFFFFF"/>
          <w:lang w:val="en-US" w:eastAsia="zh-CN"/>
        </w:rPr>
      </w:pPr>
      <w:r>
        <w:rPr>
          <w:rFonts w:hint="eastAsia" w:ascii="宋体" w:hAnsi="宋体" w:eastAsia="宋体" w:cs="宋体"/>
          <w:b/>
          <w:bCs/>
          <w:color w:val="000000"/>
          <w:sz w:val="24"/>
          <w:szCs w:val="24"/>
          <w:shd w:val="clear" w:fill="FFFFFF"/>
          <w:lang w:val="en-US" w:eastAsia="zh-CN"/>
        </w:rPr>
        <w:t>七、质保期及售后服务</w:t>
      </w:r>
    </w:p>
    <w:p w14:paraId="195C42A8">
      <w:pPr>
        <w:pStyle w:val="63"/>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rPr>
      </w:pPr>
      <w:r>
        <w:rPr>
          <w:rFonts w:hint="eastAsia" w:ascii="宋体" w:hAnsi="宋体" w:eastAsia="宋体" w:cs="宋体"/>
          <w:b/>
          <w:color w:val="000000"/>
          <w:sz w:val="24"/>
          <w:szCs w:val="24"/>
          <w:shd w:val="clear" w:fill="FFFFFF"/>
        </w:rPr>
        <w:t>★1、质保期：电梯自取得《电梯安全检验合格证》之日起</w:t>
      </w:r>
      <w:r>
        <w:rPr>
          <w:rFonts w:hint="eastAsia" w:ascii="宋体" w:hAnsi="宋体" w:eastAsia="宋体" w:cs="宋体"/>
          <w:b/>
          <w:color w:val="000000"/>
          <w:sz w:val="24"/>
          <w:szCs w:val="24"/>
          <w:shd w:val="clear" w:fill="FFFFFF"/>
          <w:lang w:val="en-US" w:eastAsia="zh-CN"/>
        </w:rPr>
        <w:t>24</w:t>
      </w:r>
      <w:r>
        <w:rPr>
          <w:rFonts w:hint="eastAsia" w:ascii="宋体" w:hAnsi="宋体" w:eastAsia="宋体" w:cs="宋体"/>
          <w:b/>
          <w:color w:val="000000"/>
          <w:sz w:val="24"/>
          <w:szCs w:val="24"/>
          <w:shd w:val="clear" w:fill="FFFFFF"/>
        </w:rPr>
        <w:t>个月，质保期内，如设备或零部件因质量原因出现故障而造成短期停用时，则质保期和免费维修期相应顺延。如停用时间累计超过60天则质保期重新计算。（要求提供承诺函，格式自拟，加盖投标人公章）</w:t>
      </w:r>
    </w:p>
    <w:p w14:paraId="2EFD87C5">
      <w:pPr>
        <w:pStyle w:val="63"/>
        <w:keepNext w:val="0"/>
        <w:keepLines w:val="0"/>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sz w:val="24"/>
          <w:szCs w:val="24"/>
        </w:rPr>
      </w:pPr>
      <w:r>
        <w:rPr>
          <w:rFonts w:hint="eastAsia" w:ascii="宋体" w:hAnsi="宋体" w:eastAsia="宋体" w:cs="宋体"/>
          <w:b/>
          <w:color w:val="000000"/>
          <w:sz w:val="24"/>
          <w:szCs w:val="24"/>
          <w:shd w:val="clear" w:fill="FFFFFF"/>
        </w:rPr>
        <w:t>★2、电梯自取得《电梯安全检验合格证》之日起</w:t>
      </w:r>
      <w:r>
        <w:rPr>
          <w:rFonts w:hint="eastAsia" w:ascii="宋体" w:hAnsi="宋体" w:eastAsia="宋体" w:cs="宋体"/>
          <w:b/>
          <w:color w:val="000000"/>
          <w:sz w:val="24"/>
          <w:szCs w:val="24"/>
          <w:shd w:val="clear" w:fill="FFFFFF"/>
          <w:lang w:val="en-US" w:eastAsia="zh-CN"/>
        </w:rPr>
        <w:t>24</w:t>
      </w:r>
      <w:r>
        <w:rPr>
          <w:rFonts w:hint="eastAsia" w:ascii="宋体" w:hAnsi="宋体" w:eastAsia="宋体" w:cs="宋体"/>
          <w:b/>
          <w:color w:val="000000"/>
          <w:sz w:val="24"/>
          <w:szCs w:val="24"/>
          <w:shd w:val="clear" w:fill="FFFFFF"/>
        </w:rPr>
        <w:t>个月内为免费质保期，质保期内中标单位提供以下服务：指派专人负责售后服务事宜，提供全年365天×24小时售后服务热线电话，接到报障电话后30分钟内响应，</w:t>
      </w:r>
      <w:r>
        <w:rPr>
          <w:rFonts w:hint="eastAsia" w:ascii="宋体" w:hAnsi="宋体" w:eastAsia="宋体" w:cs="宋体"/>
          <w:b/>
          <w:color w:val="000000"/>
          <w:sz w:val="24"/>
          <w:szCs w:val="24"/>
          <w:shd w:val="clear" w:fill="FFFFFF"/>
          <w:lang w:val="en-US" w:eastAsia="zh-CN"/>
        </w:rPr>
        <w:t>1</w:t>
      </w:r>
      <w:r>
        <w:rPr>
          <w:rFonts w:hint="eastAsia" w:ascii="宋体" w:hAnsi="宋体" w:eastAsia="宋体" w:cs="宋体"/>
          <w:b/>
          <w:color w:val="000000"/>
          <w:sz w:val="24"/>
          <w:szCs w:val="24"/>
          <w:shd w:val="clear" w:fill="FFFFFF"/>
        </w:rPr>
        <w:t>小时内到达现场，48小时内处理完毕</w:t>
      </w:r>
      <w:r>
        <w:rPr>
          <w:rFonts w:hint="eastAsia" w:ascii="宋体" w:hAnsi="宋体" w:eastAsia="宋体" w:cs="宋体"/>
          <w:b/>
          <w:color w:val="000000"/>
          <w:sz w:val="24"/>
          <w:szCs w:val="24"/>
          <w:shd w:val="clear" w:fill="FFFFFF"/>
          <w:lang w:eastAsia="zh-CN"/>
        </w:rPr>
        <w:t>；</w:t>
      </w:r>
      <w:r>
        <w:rPr>
          <w:rFonts w:hint="eastAsia" w:ascii="宋体" w:hAnsi="宋体" w:eastAsia="宋体" w:cs="宋体"/>
          <w:b/>
          <w:color w:val="000000"/>
          <w:sz w:val="24"/>
          <w:szCs w:val="24"/>
          <w:shd w:val="clear" w:fill="FFFFFF"/>
          <w:lang w:val="en-US" w:eastAsia="zh-CN"/>
        </w:rPr>
        <w:t>接到困人电话后15分钟内响应，30分钟内到达现场解救困梯人员</w:t>
      </w:r>
      <w:r>
        <w:rPr>
          <w:rFonts w:hint="eastAsia" w:ascii="宋体" w:hAnsi="宋体" w:eastAsia="宋体" w:cs="宋体"/>
          <w:b/>
          <w:color w:val="000000"/>
          <w:sz w:val="24"/>
          <w:szCs w:val="24"/>
          <w:shd w:val="clear" w:fill="FFFFFF"/>
        </w:rPr>
        <w:t>。</w:t>
      </w:r>
      <w:r>
        <w:rPr>
          <w:rFonts w:hint="eastAsia" w:ascii="宋体" w:hAnsi="宋体" w:eastAsia="宋体" w:cs="宋体"/>
          <w:b/>
          <w:color w:val="000000"/>
          <w:sz w:val="24"/>
          <w:szCs w:val="24"/>
          <w:shd w:val="clear" w:fill="FFFFFF"/>
          <w:lang w:val="en-US" w:eastAsia="zh-CN"/>
        </w:rPr>
        <w:t>故障问题</w:t>
      </w:r>
      <w:r>
        <w:rPr>
          <w:rFonts w:hint="eastAsia" w:ascii="宋体" w:hAnsi="宋体" w:eastAsia="宋体" w:cs="宋体"/>
          <w:b/>
          <w:color w:val="000000"/>
          <w:sz w:val="24"/>
          <w:szCs w:val="24"/>
          <w:shd w:val="clear" w:fill="FFFFFF"/>
        </w:rPr>
        <w:t>若在48小时内仍未能有效解决，供应商须免费提供不低于原技术参数的设备予采购人临时使用。质保期内供应商对所供货物实行包修、包换、包退及合同约定的其它事项，期满后可同时提供终身有偿维修保养服务。（要求提供承诺函，格式自拟，加盖投标人公章）</w:t>
      </w:r>
    </w:p>
    <w:p w14:paraId="1FE8B5E5">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3、质保期外，采购人可根据需要重新与供应商签订产品维护协议，确保设备的正常运转，无正当理由，供应商不得拒绝，提供终身维修服务。</w:t>
      </w:r>
    </w:p>
    <w:p w14:paraId="658A9FB3">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4、</w:t>
      </w:r>
      <w:r>
        <w:rPr>
          <w:rFonts w:hint="eastAsia" w:ascii="宋体" w:hAnsi="宋体" w:eastAsia="宋体" w:cs="宋体"/>
          <w:color w:val="000000"/>
          <w:sz w:val="24"/>
          <w:szCs w:val="24"/>
          <w:shd w:val="clear" w:fill="FFFFFF"/>
          <w:lang w:val="en-US" w:eastAsia="zh-CN"/>
        </w:rPr>
        <w:t>质保期内成交供应商</w:t>
      </w:r>
      <w:r>
        <w:rPr>
          <w:rFonts w:hint="eastAsia" w:ascii="宋体" w:hAnsi="宋体" w:eastAsia="宋体" w:cs="宋体"/>
          <w:color w:val="000000"/>
          <w:sz w:val="24"/>
          <w:szCs w:val="24"/>
          <w:shd w:val="clear" w:fill="FFFFFF"/>
        </w:rPr>
        <w:t>提供每月不少于2次的定期巡检和保养服务，每年4次全面整梯定期巡检和保养服务，提供正常消耗磨损的电梯零部件（包括照明灯具）；并代办每年向相关部门申请电梯的年检工作。</w:t>
      </w:r>
    </w:p>
    <w:p w14:paraId="65D610D2">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日常保养：</w:t>
      </w:r>
    </w:p>
    <w:p w14:paraId="44794315">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a）供应商应定期派出专业人员对电梯进行保养，由派出的保养人员对每台设备进行保养、检查、维护、调整、加油、润滑，使设备保持安全、正常状态，保养经用户签字确认。</w:t>
      </w:r>
    </w:p>
    <w:p w14:paraId="6D9B43E7">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b）供应商提供设备正常运行需要更换的全部零件、部件及油类</w:t>
      </w:r>
      <w:r>
        <w:rPr>
          <w:rFonts w:hint="eastAsia" w:ascii="宋体" w:hAnsi="宋体" w:eastAsia="宋体" w:cs="宋体"/>
          <w:color w:val="000000"/>
          <w:sz w:val="24"/>
          <w:szCs w:val="24"/>
          <w:shd w:val="clear" w:fill="FFFFFF"/>
          <w:lang w:eastAsia="zh-CN"/>
        </w:rPr>
        <w:t>，</w:t>
      </w:r>
      <w:r>
        <w:rPr>
          <w:rFonts w:hint="eastAsia" w:ascii="宋体" w:hAnsi="宋体" w:eastAsia="宋体" w:cs="宋体"/>
          <w:color w:val="000000"/>
          <w:sz w:val="24"/>
          <w:szCs w:val="24"/>
          <w:shd w:val="clear" w:fill="FFFFFF"/>
          <w:lang w:val="en-US" w:eastAsia="zh-CN"/>
        </w:rPr>
        <w:t>费用由成交供应商承担</w:t>
      </w:r>
      <w:r>
        <w:rPr>
          <w:rFonts w:hint="eastAsia" w:ascii="宋体" w:hAnsi="宋体" w:eastAsia="宋体" w:cs="宋体"/>
          <w:color w:val="000000"/>
          <w:sz w:val="24"/>
          <w:szCs w:val="24"/>
          <w:shd w:val="clear" w:fill="FFFFFF"/>
        </w:rPr>
        <w:t>。</w:t>
      </w:r>
    </w:p>
    <w:p w14:paraId="0D18CCCD">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定期检查：供应商应每月、季对每台电梯的运行安全工作情况作一次全面检查，向采购人提交检查报告。其内容至少应包括：故障次数、故障类型、处理方法、处理后的效果、所有安全装置状态和设备现有工作状况等。</w:t>
      </w:r>
    </w:p>
    <w:p w14:paraId="19CDC1A1">
      <w:pPr>
        <w:pStyle w:val="63"/>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shd w:val="clear" w:fill="FFFFFF"/>
        </w:rPr>
        <w:t>5、技术培训：</w:t>
      </w:r>
      <w:r>
        <w:rPr>
          <w:rFonts w:hint="eastAsia" w:ascii="宋体" w:hAnsi="宋体" w:eastAsia="宋体" w:cs="宋体"/>
          <w:color w:val="000000"/>
          <w:sz w:val="24"/>
          <w:szCs w:val="24"/>
          <w:shd w:val="clear" w:fill="FFFFFF"/>
          <w:lang w:val="en-US" w:eastAsia="zh-CN"/>
        </w:rPr>
        <w:t>成交</w:t>
      </w:r>
      <w:r>
        <w:rPr>
          <w:rFonts w:hint="eastAsia" w:ascii="宋体" w:hAnsi="宋体" w:eastAsia="宋体" w:cs="宋体"/>
          <w:color w:val="000000"/>
          <w:sz w:val="24"/>
          <w:szCs w:val="24"/>
          <w:shd w:val="clear" w:fill="FFFFFF"/>
        </w:rPr>
        <w:t>供应商有责任对采购人/用户的维修、操作和工程设计人员进行合同设备的操作使用方面的技术培训，通过培训，使接受培训的人员能基本了解合同内设备的基本结构、性能、并掌握设备系统的操作程序和管理、硬件故障的判断确定和维修、维护和保养的方法等，技术培训所需费用由</w:t>
      </w:r>
      <w:r>
        <w:rPr>
          <w:rFonts w:hint="eastAsia" w:ascii="宋体" w:hAnsi="宋体" w:eastAsia="宋体" w:cs="宋体"/>
          <w:color w:val="000000"/>
          <w:sz w:val="24"/>
          <w:szCs w:val="24"/>
          <w:shd w:val="clear" w:fill="FFFFFF"/>
          <w:lang w:val="en-US" w:eastAsia="zh-CN"/>
        </w:rPr>
        <w:t>成交</w:t>
      </w:r>
      <w:r>
        <w:rPr>
          <w:rFonts w:hint="eastAsia" w:ascii="宋体" w:hAnsi="宋体" w:eastAsia="宋体" w:cs="宋体"/>
          <w:color w:val="000000"/>
          <w:sz w:val="24"/>
          <w:szCs w:val="24"/>
          <w:shd w:val="clear" w:fill="FFFFFF"/>
        </w:rPr>
        <w:t>供应商负责。</w:t>
      </w:r>
    </w:p>
    <w:p w14:paraId="04A668A7">
      <w:pPr>
        <w:pStyle w:val="63"/>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both"/>
        <w:textAlignment w:val="auto"/>
        <w:rPr>
          <w:rFonts w:hint="eastAsia" w:ascii="宋体" w:hAnsi="宋体" w:eastAsia="宋体" w:cs="宋体"/>
          <w:b/>
          <w:bCs/>
          <w:color w:val="000000"/>
          <w:sz w:val="24"/>
          <w:szCs w:val="24"/>
          <w:shd w:val="clear" w:fill="FFFFFF"/>
          <w:lang w:val="en-US" w:eastAsia="zh-CN"/>
        </w:rPr>
      </w:pPr>
      <w:r>
        <w:rPr>
          <w:rFonts w:hint="eastAsia" w:ascii="宋体" w:hAnsi="宋体" w:eastAsia="宋体" w:cs="宋体"/>
          <w:b/>
          <w:bCs/>
          <w:color w:val="000000"/>
          <w:sz w:val="24"/>
          <w:szCs w:val="24"/>
          <w:shd w:val="clear" w:fill="FFFFFF"/>
          <w:lang w:val="en-US" w:eastAsia="zh-CN"/>
        </w:rPr>
        <w:t>八、付款方式</w:t>
      </w:r>
    </w:p>
    <w:p w14:paraId="14166BFF">
      <w:pPr>
        <w:pStyle w:val="63"/>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1、合同签订完成后，成交供应商在5日内支付合同金额5%作为履约保证金，履约保证金在项目质保期满后一次性无息退还。</w:t>
      </w:r>
    </w:p>
    <w:p w14:paraId="3E1C0674">
      <w:pPr>
        <w:pStyle w:val="63"/>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480" w:firstLineChars="200"/>
        <w:jc w:val="both"/>
        <w:textAlignment w:val="auto"/>
        <w:rPr>
          <w:rFonts w:hint="eastAsia" w:ascii="宋体" w:hAnsi="宋体" w:eastAsia="宋体" w:cs="宋体"/>
          <w:color w:val="FF0000"/>
          <w:sz w:val="24"/>
          <w:szCs w:val="24"/>
          <w:shd w:val="clear" w:fill="FFFFFF"/>
          <w:lang w:val="en-US" w:eastAsia="zh-CN"/>
        </w:rPr>
      </w:pPr>
      <w:r>
        <w:rPr>
          <w:rFonts w:hint="eastAsia" w:ascii="宋体" w:hAnsi="宋体" w:eastAsia="宋体" w:cs="宋体"/>
          <w:color w:val="FF0000"/>
          <w:sz w:val="24"/>
          <w:szCs w:val="24"/>
          <w:lang w:val="en-US" w:eastAsia="zh-CN"/>
        </w:rPr>
        <w:t>2、在成交供应商支付完履约保证金后，采购人支付合同金额20%的预付款，设备按合同清单要求全部到货并经检查外观无质量问题后，采购人支付合同总额50%，</w:t>
      </w:r>
      <w:r>
        <w:rPr>
          <w:rFonts w:hint="eastAsia" w:ascii="宋体" w:hAnsi="宋体" w:eastAsia="宋体" w:cs="宋体"/>
          <w:color w:val="FF0000"/>
          <w:sz w:val="24"/>
          <w:szCs w:val="24"/>
        </w:rPr>
        <w:t>项目完工并验收合格后，由成交供应商开具</w:t>
      </w:r>
      <w:r>
        <w:rPr>
          <w:rFonts w:hint="eastAsia" w:ascii="宋体" w:hAnsi="宋体" w:eastAsia="宋体" w:cs="宋体"/>
          <w:color w:val="FF0000"/>
          <w:sz w:val="24"/>
          <w:szCs w:val="24"/>
          <w:lang w:val="en-US" w:eastAsia="zh-CN"/>
        </w:rPr>
        <w:t>合同成交金额全额普</w:t>
      </w:r>
      <w:bookmarkStart w:id="0" w:name="_GoBack"/>
      <w:bookmarkEnd w:id="0"/>
      <w:r>
        <w:rPr>
          <w:rFonts w:hint="eastAsia" w:ascii="宋体" w:hAnsi="宋体" w:eastAsia="宋体" w:cs="宋体"/>
          <w:color w:val="FF0000"/>
          <w:sz w:val="24"/>
          <w:szCs w:val="24"/>
          <w:lang w:val="en-US" w:eastAsia="zh-CN"/>
        </w:rPr>
        <w:t>通增值税</w:t>
      </w:r>
      <w:r>
        <w:rPr>
          <w:rFonts w:hint="eastAsia" w:ascii="宋体" w:hAnsi="宋体" w:eastAsia="宋体" w:cs="宋体"/>
          <w:color w:val="FF0000"/>
          <w:sz w:val="24"/>
          <w:szCs w:val="24"/>
        </w:rPr>
        <w:t>发票，</w:t>
      </w:r>
      <w:r>
        <w:rPr>
          <w:rFonts w:hint="eastAsia" w:ascii="宋体" w:hAnsi="宋体" w:eastAsia="宋体" w:cs="宋体"/>
          <w:color w:val="FF0000"/>
          <w:sz w:val="24"/>
          <w:szCs w:val="24"/>
          <w:lang w:val="en-US" w:eastAsia="zh-CN"/>
        </w:rPr>
        <w:t>采购人确认无误后，采购人支付至结算价的100%。</w:t>
      </w:r>
    </w:p>
    <w:sectPr>
      <w:headerReference r:id="rId6" w:type="first"/>
      <w:footerReference r:id="rId9" w:type="first"/>
      <w:footerReference r:id="rId7" w:type="default"/>
      <w:headerReference r:id="rId5" w:type="even"/>
      <w:footerReference r:id="rId8" w:type="even"/>
      <w:pgSz w:w="11906" w:h="16838"/>
      <w:pgMar w:top="1134" w:right="737"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hanging="105"/>
      </w:pPr>
      <w:r>
        <w:separator/>
      </w:r>
    </w:p>
  </w:endnote>
  <w:endnote w:type="continuationSeparator" w:id="1">
    <w:p>
      <w:pPr>
        <w:spacing w:line="240" w:lineRule="auto"/>
        <w:ind w:hanging="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64189">
    <w:pPr>
      <w:pStyle w:val="7"/>
      <w:ind w:left="0" w:firstLine="0" w:firstLineChars="0"/>
      <w:rPr>
        <w:u w:val="single"/>
      </w:rPr>
    </w:pPr>
    <w:r>
      <w:rPr>
        <w:sz w:val="21"/>
      </w:rPr>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v:path/>
          <v:fill on="f" focussize="0,0"/>
          <v:stroke on="f" joinstyle="miter"/>
          <v:imagedata o:title=""/>
          <o:lock v:ext="edit"/>
          <v:textbox inset="0mm,0mm,0mm,0mm" style="mso-fit-shape-to-text:t;">
            <w:txbxContent>
              <w:p w14:paraId="49596E8C">
                <w:pPr>
                  <w:pStyle w:val="7"/>
                  <w:ind w:left="90" w:hanging="90"/>
                </w:pPr>
                <w:r>
                  <w:fldChar w:fldCharType="begin"/>
                </w:r>
                <w:r>
                  <w:instrText xml:space="preserve"> PAGE  \* MERGEFORMAT </w:instrText>
                </w:r>
                <w:r>
                  <w:fldChar w:fldCharType="separate"/>
                </w:r>
                <w:r>
                  <w:t>1</w:t>
                </w:r>
                <w:r>
                  <w:fldChar w:fldCharType="end"/>
                </w:r>
              </w:p>
            </w:txbxContent>
          </v:textbox>
        </v:shape>
      </w:pict>
    </w:r>
    <w:r>
      <w:rPr>
        <w:rFonts w:hint="eastAsia"/>
        <w:sz w:val="21"/>
        <w:szCs w:val="21"/>
      </w:rPr>
      <w:t xml:space="preserve">                           </w:t>
    </w:r>
  </w:p>
  <w:p w14:paraId="7A4DF402">
    <w:pPr>
      <w:pStyle w:val="7"/>
      <w:ind w:left="105" w:hanging="105"/>
      <w:rPr>
        <w:u w:val="single"/>
      </w:rPr>
    </w:pPr>
    <w:r>
      <w:rPr>
        <w:rFonts w:hint="eastAsia"/>
        <w:sz w:val="21"/>
        <w:szCs w:val="21"/>
      </w:rPr>
      <w:t xml:space="preserve">      </w:t>
    </w:r>
    <w:r>
      <w:rPr>
        <w:rFonts w:hint="eastAsia"/>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FE1CE">
    <w:pPr>
      <w:pStyle w:val="7"/>
      <w:ind w:left="90" w:hanging="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F7432">
    <w:pPr>
      <w:pStyle w:val="7"/>
      <w:ind w:left="90" w:hanging="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hanging="105"/>
      </w:pPr>
      <w:r>
        <w:separator/>
      </w:r>
    </w:p>
  </w:footnote>
  <w:footnote w:type="continuationSeparator" w:id="1">
    <w:p>
      <w:pPr>
        <w:spacing w:line="360" w:lineRule="auto"/>
        <w:ind w:hanging="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9B8BC">
    <w:pPr>
      <w:pStyle w:val="8"/>
      <w:ind w:left="90" w:hanging="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00202">
    <w:pPr>
      <w:pStyle w:val="8"/>
      <w:ind w:left="90" w:hanging="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U0ZjcwNWI1YmYzYTFmZmQyMGIwMjA4NmE2OGRjNzgifQ=="/>
  </w:docVars>
  <w:rsids>
    <w:rsidRoot w:val="00837F93"/>
    <w:rsid w:val="00001BC4"/>
    <w:rsid w:val="00010376"/>
    <w:rsid w:val="000212F3"/>
    <w:rsid w:val="00036839"/>
    <w:rsid w:val="0004076E"/>
    <w:rsid w:val="00042B0C"/>
    <w:rsid w:val="00044531"/>
    <w:rsid w:val="00047B6D"/>
    <w:rsid w:val="00060993"/>
    <w:rsid w:val="00061BAF"/>
    <w:rsid w:val="00065CB5"/>
    <w:rsid w:val="0006729A"/>
    <w:rsid w:val="00081EA9"/>
    <w:rsid w:val="000852A5"/>
    <w:rsid w:val="000972A5"/>
    <w:rsid w:val="000A10D4"/>
    <w:rsid w:val="000A596F"/>
    <w:rsid w:val="000B21DF"/>
    <w:rsid w:val="000B37A4"/>
    <w:rsid w:val="000B7B77"/>
    <w:rsid w:val="000C2B41"/>
    <w:rsid w:val="000C3466"/>
    <w:rsid w:val="000D2410"/>
    <w:rsid w:val="000D76FC"/>
    <w:rsid w:val="000E0EF0"/>
    <w:rsid w:val="000F4D1D"/>
    <w:rsid w:val="000F63C4"/>
    <w:rsid w:val="00102CDC"/>
    <w:rsid w:val="00111779"/>
    <w:rsid w:val="001222BB"/>
    <w:rsid w:val="001319D2"/>
    <w:rsid w:val="00137A42"/>
    <w:rsid w:val="00144F38"/>
    <w:rsid w:val="0015482F"/>
    <w:rsid w:val="001554EB"/>
    <w:rsid w:val="001721FD"/>
    <w:rsid w:val="001878CB"/>
    <w:rsid w:val="001C03C5"/>
    <w:rsid w:val="001D478E"/>
    <w:rsid w:val="001D6D87"/>
    <w:rsid w:val="001E4FEA"/>
    <w:rsid w:val="00204779"/>
    <w:rsid w:val="0021073A"/>
    <w:rsid w:val="00212214"/>
    <w:rsid w:val="00222D3F"/>
    <w:rsid w:val="00224AD4"/>
    <w:rsid w:val="002349C6"/>
    <w:rsid w:val="0024445A"/>
    <w:rsid w:val="002446C8"/>
    <w:rsid w:val="00244D3F"/>
    <w:rsid w:val="00252F64"/>
    <w:rsid w:val="00253DD8"/>
    <w:rsid w:val="00255FBA"/>
    <w:rsid w:val="00264371"/>
    <w:rsid w:val="00273C15"/>
    <w:rsid w:val="00282FFA"/>
    <w:rsid w:val="00296E48"/>
    <w:rsid w:val="00297365"/>
    <w:rsid w:val="002A0644"/>
    <w:rsid w:val="002A1F7F"/>
    <w:rsid w:val="002A46F8"/>
    <w:rsid w:val="002A7180"/>
    <w:rsid w:val="002B1D67"/>
    <w:rsid w:val="002B2784"/>
    <w:rsid w:val="002B6D4F"/>
    <w:rsid w:val="002C3D75"/>
    <w:rsid w:val="002C5F5B"/>
    <w:rsid w:val="002D78F5"/>
    <w:rsid w:val="002E22E2"/>
    <w:rsid w:val="002F0345"/>
    <w:rsid w:val="002F1825"/>
    <w:rsid w:val="002F252A"/>
    <w:rsid w:val="002F4427"/>
    <w:rsid w:val="0031117E"/>
    <w:rsid w:val="00314082"/>
    <w:rsid w:val="00315523"/>
    <w:rsid w:val="00322FF2"/>
    <w:rsid w:val="00334A34"/>
    <w:rsid w:val="003550F8"/>
    <w:rsid w:val="003557F8"/>
    <w:rsid w:val="00365E9A"/>
    <w:rsid w:val="00370F3D"/>
    <w:rsid w:val="0037216D"/>
    <w:rsid w:val="0037232C"/>
    <w:rsid w:val="00386015"/>
    <w:rsid w:val="003A03CB"/>
    <w:rsid w:val="003B237F"/>
    <w:rsid w:val="003C0E02"/>
    <w:rsid w:val="003C5343"/>
    <w:rsid w:val="003D29BA"/>
    <w:rsid w:val="003D78D9"/>
    <w:rsid w:val="003E3B0F"/>
    <w:rsid w:val="003F27DE"/>
    <w:rsid w:val="003F7AF3"/>
    <w:rsid w:val="00406530"/>
    <w:rsid w:val="004072AC"/>
    <w:rsid w:val="004129C9"/>
    <w:rsid w:val="0041652A"/>
    <w:rsid w:val="00417E4B"/>
    <w:rsid w:val="004202AF"/>
    <w:rsid w:val="004215BC"/>
    <w:rsid w:val="004470CF"/>
    <w:rsid w:val="00454E7C"/>
    <w:rsid w:val="004554F4"/>
    <w:rsid w:val="00455BA1"/>
    <w:rsid w:val="00457F07"/>
    <w:rsid w:val="004608E4"/>
    <w:rsid w:val="00461A79"/>
    <w:rsid w:val="004634CF"/>
    <w:rsid w:val="00471C65"/>
    <w:rsid w:val="004742EC"/>
    <w:rsid w:val="0048127B"/>
    <w:rsid w:val="00481C77"/>
    <w:rsid w:val="00492266"/>
    <w:rsid w:val="004A0819"/>
    <w:rsid w:val="004A20F8"/>
    <w:rsid w:val="004A4E2B"/>
    <w:rsid w:val="004A791A"/>
    <w:rsid w:val="004B49B9"/>
    <w:rsid w:val="004B5F2D"/>
    <w:rsid w:val="004B60C0"/>
    <w:rsid w:val="004B7012"/>
    <w:rsid w:val="004C38B8"/>
    <w:rsid w:val="004D00E7"/>
    <w:rsid w:val="004D24FE"/>
    <w:rsid w:val="004E338C"/>
    <w:rsid w:val="004F0E81"/>
    <w:rsid w:val="005005EA"/>
    <w:rsid w:val="0050089D"/>
    <w:rsid w:val="00500A63"/>
    <w:rsid w:val="00511540"/>
    <w:rsid w:val="00522BBD"/>
    <w:rsid w:val="00523F5F"/>
    <w:rsid w:val="00530926"/>
    <w:rsid w:val="005344D0"/>
    <w:rsid w:val="00541C53"/>
    <w:rsid w:val="005776A5"/>
    <w:rsid w:val="00584AEA"/>
    <w:rsid w:val="005B7242"/>
    <w:rsid w:val="005C2260"/>
    <w:rsid w:val="005C3800"/>
    <w:rsid w:val="005C3CCB"/>
    <w:rsid w:val="005C431D"/>
    <w:rsid w:val="005C5129"/>
    <w:rsid w:val="005C5E8F"/>
    <w:rsid w:val="005C6AFD"/>
    <w:rsid w:val="005D34FB"/>
    <w:rsid w:val="005E6B92"/>
    <w:rsid w:val="00613771"/>
    <w:rsid w:val="006222E9"/>
    <w:rsid w:val="0062759B"/>
    <w:rsid w:val="0063269E"/>
    <w:rsid w:val="00642E8E"/>
    <w:rsid w:val="006617AF"/>
    <w:rsid w:val="006912A5"/>
    <w:rsid w:val="006B03BB"/>
    <w:rsid w:val="006B4436"/>
    <w:rsid w:val="006C050B"/>
    <w:rsid w:val="006D3343"/>
    <w:rsid w:val="006F0B84"/>
    <w:rsid w:val="006F39B2"/>
    <w:rsid w:val="00701A27"/>
    <w:rsid w:val="00724F16"/>
    <w:rsid w:val="00732DF0"/>
    <w:rsid w:val="00733974"/>
    <w:rsid w:val="00736536"/>
    <w:rsid w:val="007378E3"/>
    <w:rsid w:val="00740423"/>
    <w:rsid w:val="00746AC2"/>
    <w:rsid w:val="00747D25"/>
    <w:rsid w:val="00770AA0"/>
    <w:rsid w:val="007779A9"/>
    <w:rsid w:val="007840B5"/>
    <w:rsid w:val="00786BAF"/>
    <w:rsid w:val="00790A8C"/>
    <w:rsid w:val="00795C37"/>
    <w:rsid w:val="0079631B"/>
    <w:rsid w:val="007A06E1"/>
    <w:rsid w:val="007A17F3"/>
    <w:rsid w:val="007A23ED"/>
    <w:rsid w:val="007A2642"/>
    <w:rsid w:val="007A5827"/>
    <w:rsid w:val="007A74C5"/>
    <w:rsid w:val="007B3666"/>
    <w:rsid w:val="007B391C"/>
    <w:rsid w:val="007B70A3"/>
    <w:rsid w:val="007B7EC9"/>
    <w:rsid w:val="007F3523"/>
    <w:rsid w:val="007F59E2"/>
    <w:rsid w:val="007F5B6B"/>
    <w:rsid w:val="007F6AB3"/>
    <w:rsid w:val="008016E2"/>
    <w:rsid w:val="0080439B"/>
    <w:rsid w:val="00805268"/>
    <w:rsid w:val="0083164F"/>
    <w:rsid w:val="0083485B"/>
    <w:rsid w:val="008348A1"/>
    <w:rsid w:val="00837F93"/>
    <w:rsid w:val="00841816"/>
    <w:rsid w:val="00843650"/>
    <w:rsid w:val="00873511"/>
    <w:rsid w:val="008812AF"/>
    <w:rsid w:val="00882B50"/>
    <w:rsid w:val="0089106B"/>
    <w:rsid w:val="00895635"/>
    <w:rsid w:val="00895AE8"/>
    <w:rsid w:val="008A3EEF"/>
    <w:rsid w:val="008B7F0C"/>
    <w:rsid w:val="008C0C72"/>
    <w:rsid w:val="008C2F90"/>
    <w:rsid w:val="008D13D2"/>
    <w:rsid w:val="008D18B6"/>
    <w:rsid w:val="008D5297"/>
    <w:rsid w:val="008D6563"/>
    <w:rsid w:val="008E5D8A"/>
    <w:rsid w:val="008E6687"/>
    <w:rsid w:val="008E7B55"/>
    <w:rsid w:val="008F73E5"/>
    <w:rsid w:val="008F7711"/>
    <w:rsid w:val="00903B08"/>
    <w:rsid w:val="00906611"/>
    <w:rsid w:val="00906A05"/>
    <w:rsid w:val="00912AF6"/>
    <w:rsid w:val="00913C28"/>
    <w:rsid w:val="00917240"/>
    <w:rsid w:val="0092129E"/>
    <w:rsid w:val="0092617C"/>
    <w:rsid w:val="00947770"/>
    <w:rsid w:val="00965D6B"/>
    <w:rsid w:val="0097495B"/>
    <w:rsid w:val="009804E3"/>
    <w:rsid w:val="009816EC"/>
    <w:rsid w:val="009A7883"/>
    <w:rsid w:val="009B0CFD"/>
    <w:rsid w:val="009B2078"/>
    <w:rsid w:val="009D7971"/>
    <w:rsid w:val="009E02D1"/>
    <w:rsid w:val="009E088B"/>
    <w:rsid w:val="009E1696"/>
    <w:rsid w:val="009E28E7"/>
    <w:rsid w:val="009E3BAA"/>
    <w:rsid w:val="009F6569"/>
    <w:rsid w:val="00A00F6C"/>
    <w:rsid w:val="00A01980"/>
    <w:rsid w:val="00A062B2"/>
    <w:rsid w:val="00A065D6"/>
    <w:rsid w:val="00A12526"/>
    <w:rsid w:val="00A15C70"/>
    <w:rsid w:val="00A27B4D"/>
    <w:rsid w:val="00A33C39"/>
    <w:rsid w:val="00A44549"/>
    <w:rsid w:val="00A44B2B"/>
    <w:rsid w:val="00A508FE"/>
    <w:rsid w:val="00A5507E"/>
    <w:rsid w:val="00A578C5"/>
    <w:rsid w:val="00A633E6"/>
    <w:rsid w:val="00A63FEC"/>
    <w:rsid w:val="00A65234"/>
    <w:rsid w:val="00A72398"/>
    <w:rsid w:val="00A770F2"/>
    <w:rsid w:val="00A83DCD"/>
    <w:rsid w:val="00A86626"/>
    <w:rsid w:val="00A9027F"/>
    <w:rsid w:val="00A91500"/>
    <w:rsid w:val="00AA676B"/>
    <w:rsid w:val="00AA6A69"/>
    <w:rsid w:val="00AB0845"/>
    <w:rsid w:val="00AC7B50"/>
    <w:rsid w:val="00AD17E0"/>
    <w:rsid w:val="00AD26E8"/>
    <w:rsid w:val="00AE1F5F"/>
    <w:rsid w:val="00AE352C"/>
    <w:rsid w:val="00AF1AFC"/>
    <w:rsid w:val="00B03E35"/>
    <w:rsid w:val="00B05EB9"/>
    <w:rsid w:val="00B06AB3"/>
    <w:rsid w:val="00B1237F"/>
    <w:rsid w:val="00B12A50"/>
    <w:rsid w:val="00B24E7D"/>
    <w:rsid w:val="00B27B34"/>
    <w:rsid w:val="00B3582A"/>
    <w:rsid w:val="00B44CBA"/>
    <w:rsid w:val="00B51929"/>
    <w:rsid w:val="00B5337D"/>
    <w:rsid w:val="00B53611"/>
    <w:rsid w:val="00B5565C"/>
    <w:rsid w:val="00B65270"/>
    <w:rsid w:val="00B7280D"/>
    <w:rsid w:val="00B74B18"/>
    <w:rsid w:val="00B77DBB"/>
    <w:rsid w:val="00B94915"/>
    <w:rsid w:val="00B9660B"/>
    <w:rsid w:val="00BA28F7"/>
    <w:rsid w:val="00BA7EF4"/>
    <w:rsid w:val="00BB1C5E"/>
    <w:rsid w:val="00BB2F53"/>
    <w:rsid w:val="00BC48AA"/>
    <w:rsid w:val="00BD4260"/>
    <w:rsid w:val="00BD7B41"/>
    <w:rsid w:val="00BE4855"/>
    <w:rsid w:val="00C0676A"/>
    <w:rsid w:val="00C07A82"/>
    <w:rsid w:val="00C11A3B"/>
    <w:rsid w:val="00C139FD"/>
    <w:rsid w:val="00C21B53"/>
    <w:rsid w:val="00C22F24"/>
    <w:rsid w:val="00C340D5"/>
    <w:rsid w:val="00C408EA"/>
    <w:rsid w:val="00C471BC"/>
    <w:rsid w:val="00C50157"/>
    <w:rsid w:val="00C52A34"/>
    <w:rsid w:val="00C5437A"/>
    <w:rsid w:val="00C67B86"/>
    <w:rsid w:val="00C70E93"/>
    <w:rsid w:val="00C90EC6"/>
    <w:rsid w:val="00CA1CC4"/>
    <w:rsid w:val="00CD110C"/>
    <w:rsid w:val="00CD350D"/>
    <w:rsid w:val="00CE7362"/>
    <w:rsid w:val="00CE7F78"/>
    <w:rsid w:val="00CF040C"/>
    <w:rsid w:val="00D15475"/>
    <w:rsid w:val="00D20B2B"/>
    <w:rsid w:val="00D2208F"/>
    <w:rsid w:val="00D239E3"/>
    <w:rsid w:val="00D459CB"/>
    <w:rsid w:val="00D56734"/>
    <w:rsid w:val="00D61B3D"/>
    <w:rsid w:val="00D63734"/>
    <w:rsid w:val="00D664FF"/>
    <w:rsid w:val="00D70F15"/>
    <w:rsid w:val="00D7191E"/>
    <w:rsid w:val="00D73BBA"/>
    <w:rsid w:val="00D834B0"/>
    <w:rsid w:val="00D85C9E"/>
    <w:rsid w:val="00D90C68"/>
    <w:rsid w:val="00D93FAB"/>
    <w:rsid w:val="00DC754D"/>
    <w:rsid w:val="00DE421A"/>
    <w:rsid w:val="00DE47C4"/>
    <w:rsid w:val="00DF7572"/>
    <w:rsid w:val="00E20725"/>
    <w:rsid w:val="00E226BE"/>
    <w:rsid w:val="00E53578"/>
    <w:rsid w:val="00E61B06"/>
    <w:rsid w:val="00E64320"/>
    <w:rsid w:val="00E67B3F"/>
    <w:rsid w:val="00E67D0B"/>
    <w:rsid w:val="00E70CB0"/>
    <w:rsid w:val="00E86F00"/>
    <w:rsid w:val="00E96D82"/>
    <w:rsid w:val="00EA3C67"/>
    <w:rsid w:val="00EB3888"/>
    <w:rsid w:val="00EB7424"/>
    <w:rsid w:val="00EC24DD"/>
    <w:rsid w:val="00ED02C2"/>
    <w:rsid w:val="00EF19F1"/>
    <w:rsid w:val="00F0016B"/>
    <w:rsid w:val="00F041B8"/>
    <w:rsid w:val="00F378C4"/>
    <w:rsid w:val="00F401EE"/>
    <w:rsid w:val="00F40854"/>
    <w:rsid w:val="00F56E71"/>
    <w:rsid w:val="00F61485"/>
    <w:rsid w:val="00F64566"/>
    <w:rsid w:val="00F6614E"/>
    <w:rsid w:val="00F67936"/>
    <w:rsid w:val="00F73D78"/>
    <w:rsid w:val="00F75F18"/>
    <w:rsid w:val="00F80298"/>
    <w:rsid w:val="00F80927"/>
    <w:rsid w:val="00F84862"/>
    <w:rsid w:val="00F869FF"/>
    <w:rsid w:val="00FB4CB2"/>
    <w:rsid w:val="00FF2321"/>
    <w:rsid w:val="00FF2B97"/>
    <w:rsid w:val="01415BE7"/>
    <w:rsid w:val="01463D96"/>
    <w:rsid w:val="01D67299"/>
    <w:rsid w:val="0249368E"/>
    <w:rsid w:val="02BF0C2A"/>
    <w:rsid w:val="02CD54BB"/>
    <w:rsid w:val="02DF118D"/>
    <w:rsid w:val="03085600"/>
    <w:rsid w:val="035D4923"/>
    <w:rsid w:val="036068E4"/>
    <w:rsid w:val="03825729"/>
    <w:rsid w:val="03D34DDA"/>
    <w:rsid w:val="04025BED"/>
    <w:rsid w:val="04145B2A"/>
    <w:rsid w:val="04282F18"/>
    <w:rsid w:val="046A42E1"/>
    <w:rsid w:val="04B049B1"/>
    <w:rsid w:val="04B84389"/>
    <w:rsid w:val="04BD6E3B"/>
    <w:rsid w:val="04BE0E60"/>
    <w:rsid w:val="056C79C8"/>
    <w:rsid w:val="05787055"/>
    <w:rsid w:val="06164455"/>
    <w:rsid w:val="06665A61"/>
    <w:rsid w:val="067111E6"/>
    <w:rsid w:val="06C461D5"/>
    <w:rsid w:val="06D31065"/>
    <w:rsid w:val="07183320"/>
    <w:rsid w:val="07687C11"/>
    <w:rsid w:val="078B7511"/>
    <w:rsid w:val="07C0646E"/>
    <w:rsid w:val="07E16F78"/>
    <w:rsid w:val="08094612"/>
    <w:rsid w:val="090F0687"/>
    <w:rsid w:val="09600B40"/>
    <w:rsid w:val="09DE1880"/>
    <w:rsid w:val="09E06106"/>
    <w:rsid w:val="09E54358"/>
    <w:rsid w:val="0A0A5E29"/>
    <w:rsid w:val="0A532C6B"/>
    <w:rsid w:val="0AEF5C8E"/>
    <w:rsid w:val="0B48560E"/>
    <w:rsid w:val="0BA75779"/>
    <w:rsid w:val="0BC16C0A"/>
    <w:rsid w:val="0BCA6F88"/>
    <w:rsid w:val="0C195572"/>
    <w:rsid w:val="0C4F778A"/>
    <w:rsid w:val="0C5E1832"/>
    <w:rsid w:val="0CA064AC"/>
    <w:rsid w:val="0CDE7EB7"/>
    <w:rsid w:val="0CFB69A3"/>
    <w:rsid w:val="0D25685F"/>
    <w:rsid w:val="0DFE6BA8"/>
    <w:rsid w:val="0E0310C5"/>
    <w:rsid w:val="0E061F9B"/>
    <w:rsid w:val="0E0978CD"/>
    <w:rsid w:val="0E0A11EE"/>
    <w:rsid w:val="0E4A4D21"/>
    <w:rsid w:val="0E8E673C"/>
    <w:rsid w:val="0EA10ACD"/>
    <w:rsid w:val="0EC72F04"/>
    <w:rsid w:val="0EFA2C86"/>
    <w:rsid w:val="0F323A58"/>
    <w:rsid w:val="0FA769E0"/>
    <w:rsid w:val="107908C6"/>
    <w:rsid w:val="10CA2372"/>
    <w:rsid w:val="11246232"/>
    <w:rsid w:val="11595BA1"/>
    <w:rsid w:val="118440E5"/>
    <w:rsid w:val="118C62B1"/>
    <w:rsid w:val="11BA111C"/>
    <w:rsid w:val="11BC5F87"/>
    <w:rsid w:val="11E53EC0"/>
    <w:rsid w:val="11EB73E9"/>
    <w:rsid w:val="12395D24"/>
    <w:rsid w:val="123D47D9"/>
    <w:rsid w:val="12B5085C"/>
    <w:rsid w:val="12D0788F"/>
    <w:rsid w:val="13E403C2"/>
    <w:rsid w:val="13E759BC"/>
    <w:rsid w:val="140C33F4"/>
    <w:rsid w:val="144952E4"/>
    <w:rsid w:val="14673988"/>
    <w:rsid w:val="146855F8"/>
    <w:rsid w:val="146D1CD5"/>
    <w:rsid w:val="146F5878"/>
    <w:rsid w:val="147B487F"/>
    <w:rsid w:val="15725F1F"/>
    <w:rsid w:val="157B554C"/>
    <w:rsid w:val="1631622D"/>
    <w:rsid w:val="163703B0"/>
    <w:rsid w:val="164C3C33"/>
    <w:rsid w:val="164C61B1"/>
    <w:rsid w:val="16790488"/>
    <w:rsid w:val="169E13F6"/>
    <w:rsid w:val="172D534A"/>
    <w:rsid w:val="175C1E09"/>
    <w:rsid w:val="177350E4"/>
    <w:rsid w:val="17AB2A79"/>
    <w:rsid w:val="17D578D2"/>
    <w:rsid w:val="18025ABD"/>
    <w:rsid w:val="182164BD"/>
    <w:rsid w:val="184A0C30"/>
    <w:rsid w:val="187F1DAC"/>
    <w:rsid w:val="18B16E48"/>
    <w:rsid w:val="19161E54"/>
    <w:rsid w:val="196A05B8"/>
    <w:rsid w:val="197F5611"/>
    <w:rsid w:val="19F00F6B"/>
    <w:rsid w:val="1A9C1D11"/>
    <w:rsid w:val="1BFA1091"/>
    <w:rsid w:val="1C2F1CF0"/>
    <w:rsid w:val="1C8B682A"/>
    <w:rsid w:val="1CAC6588"/>
    <w:rsid w:val="1CC36A6A"/>
    <w:rsid w:val="1CCA7DF9"/>
    <w:rsid w:val="1CF73251"/>
    <w:rsid w:val="1DFA398C"/>
    <w:rsid w:val="1E1931C1"/>
    <w:rsid w:val="1E1F4C05"/>
    <w:rsid w:val="1E501DD4"/>
    <w:rsid w:val="1E795232"/>
    <w:rsid w:val="1F4D7F1D"/>
    <w:rsid w:val="1F4F3180"/>
    <w:rsid w:val="20F15ECB"/>
    <w:rsid w:val="20F72B01"/>
    <w:rsid w:val="21884621"/>
    <w:rsid w:val="218D3410"/>
    <w:rsid w:val="225813FB"/>
    <w:rsid w:val="22913819"/>
    <w:rsid w:val="22C64D28"/>
    <w:rsid w:val="22E91DC0"/>
    <w:rsid w:val="22F31066"/>
    <w:rsid w:val="232E3A9D"/>
    <w:rsid w:val="23501911"/>
    <w:rsid w:val="23605994"/>
    <w:rsid w:val="24582316"/>
    <w:rsid w:val="24EB1B84"/>
    <w:rsid w:val="24F93EC5"/>
    <w:rsid w:val="255462B7"/>
    <w:rsid w:val="259F1096"/>
    <w:rsid w:val="25F71108"/>
    <w:rsid w:val="260010D2"/>
    <w:rsid w:val="261B297B"/>
    <w:rsid w:val="26D02AD7"/>
    <w:rsid w:val="26F267B6"/>
    <w:rsid w:val="273705C4"/>
    <w:rsid w:val="27546F46"/>
    <w:rsid w:val="2784586F"/>
    <w:rsid w:val="27C75304"/>
    <w:rsid w:val="27D44264"/>
    <w:rsid w:val="27F107C0"/>
    <w:rsid w:val="28142B0D"/>
    <w:rsid w:val="281978AE"/>
    <w:rsid w:val="28736205"/>
    <w:rsid w:val="28972AE4"/>
    <w:rsid w:val="28FA0572"/>
    <w:rsid w:val="29CE304C"/>
    <w:rsid w:val="2A247B1B"/>
    <w:rsid w:val="2A95369F"/>
    <w:rsid w:val="2AFE0A87"/>
    <w:rsid w:val="2B7B24CD"/>
    <w:rsid w:val="2C15586B"/>
    <w:rsid w:val="2C5F6588"/>
    <w:rsid w:val="2CA15128"/>
    <w:rsid w:val="2DA5162E"/>
    <w:rsid w:val="2DF83B99"/>
    <w:rsid w:val="2E670229"/>
    <w:rsid w:val="2E6B5FB9"/>
    <w:rsid w:val="2F1C5113"/>
    <w:rsid w:val="2F942233"/>
    <w:rsid w:val="302C4D44"/>
    <w:rsid w:val="304034A5"/>
    <w:rsid w:val="30580276"/>
    <w:rsid w:val="308E2C95"/>
    <w:rsid w:val="3098505F"/>
    <w:rsid w:val="30A81F3B"/>
    <w:rsid w:val="30DF415C"/>
    <w:rsid w:val="319C4D72"/>
    <w:rsid w:val="32503ACA"/>
    <w:rsid w:val="330F7161"/>
    <w:rsid w:val="333223BA"/>
    <w:rsid w:val="337E60D4"/>
    <w:rsid w:val="33811F13"/>
    <w:rsid w:val="339366B7"/>
    <w:rsid w:val="33DE7439"/>
    <w:rsid w:val="33E377F8"/>
    <w:rsid w:val="345A6AE1"/>
    <w:rsid w:val="34716B2C"/>
    <w:rsid w:val="34C448AD"/>
    <w:rsid w:val="35094936"/>
    <w:rsid w:val="3541741A"/>
    <w:rsid w:val="35470620"/>
    <w:rsid w:val="354C68BB"/>
    <w:rsid w:val="357F50A8"/>
    <w:rsid w:val="357F5EE6"/>
    <w:rsid w:val="35A8351B"/>
    <w:rsid w:val="35B322A8"/>
    <w:rsid w:val="35C140C4"/>
    <w:rsid w:val="35E71DC4"/>
    <w:rsid w:val="36224CFC"/>
    <w:rsid w:val="364E1C00"/>
    <w:rsid w:val="365B3296"/>
    <w:rsid w:val="36B53E41"/>
    <w:rsid w:val="36C82103"/>
    <w:rsid w:val="372A644B"/>
    <w:rsid w:val="37A7241E"/>
    <w:rsid w:val="37DF734A"/>
    <w:rsid w:val="38AC1045"/>
    <w:rsid w:val="39367354"/>
    <w:rsid w:val="393C250C"/>
    <w:rsid w:val="395F1EF0"/>
    <w:rsid w:val="3973599E"/>
    <w:rsid w:val="39B9661F"/>
    <w:rsid w:val="39F23D22"/>
    <w:rsid w:val="3B830A9F"/>
    <w:rsid w:val="3C0D670F"/>
    <w:rsid w:val="3C112E17"/>
    <w:rsid w:val="3C3F3191"/>
    <w:rsid w:val="3C4162A1"/>
    <w:rsid w:val="3C6F5158"/>
    <w:rsid w:val="3CD049F1"/>
    <w:rsid w:val="3CD45588"/>
    <w:rsid w:val="3DA37EA9"/>
    <w:rsid w:val="3DB746EC"/>
    <w:rsid w:val="3DED0AE0"/>
    <w:rsid w:val="3E4149E2"/>
    <w:rsid w:val="3E59333B"/>
    <w:rsid w:val="3EBB581B"/>
    <w:rsid w:val="3F2C72B9"/>
    <w:rsid w:val="3F946D8C"/>
    <w:rsid w:val="3FF713A1"/>
    <w:rsid w:val="3FFC4DBC"/>
    <w:rsid w:val="402F5870"/>
    <w:rsid w:val="40565AAD"/>
    <w:rsid w:val="40571673"/>
    <w:rsid w:val="406724FD"/>
    <w:rsid w:val="40C07D3A"/>
    <w:rsid w:val="41591307"/>
    <w:rsid w:val="419E0C9C"/>
    <w:rsid w:val="41A5365B"/>
    <w:rsid w:val="4279776B"/>
    <w:rsid w:val="42C00E4E"/>
    <w:rsid w:val="42FF6249"/>
    <w:rsid w:val="43475941"/>
    <w:rsid w:val="43C14BD7"/>
    <w:rsid w:val="43FC4637"/>
    <w:rsid w:val="444636DC"/>
    <w:rsid w:val="448F5505"/>
    <w:rsid w:val="44AB7152"/>
    <w:rsid w:val="44E01732"/>
    <w:rsid w:val="45817FDD"/>
    <w:rsid w:val="45AE47E1"/>
    <w:rsid w:val="45B43486"/>
    <w:rsid w:val="45F07352"/>
    <w:rsid w:val="46731DFA"/>
    <w:rsid w:val="473D1DA4"/>
    <w:rsid w:val="476A404A"/>
    <w:rsid w:val="47AB6D6B"/>
    <w:rsid w:val="482B51B1"/>
    <w:rsid w:val="48451779"/>
    <w:rsid w:val="486B35CB"/>
    <w:rsid w:val="48A952D7"/>
    <w:rsid w:val="48B51547"/>
    <w:rsid w:val="48CE5959"/>
    <w:rsid w:val="490F33DD"/>
    <w:rsid w:val="492C433E"/>
    <w:rsid w:val="496F55EC"/>
    <w:rsid w:val="4983372D"/>
    <w:rsid w:val="49B06C3D"/>
    <w:rsid w:val="49D64C38"/>
    <w:rsid w:val="4A3B74C7"/>
    <w:rsid w:val="4A5915C2"/>
    <w:rsid w:val="4A777FD0"/>
    <w:rsid w:val="4AB95802"/>
    <w:rsid w:val="4B084228"/>
    <w:rsid w:val="4B1D4B01"/>
    <w:rsid w:val="4B232401"/>
    <w:rsid w:val="4B3330C3"/>
    <w:rsid w:val="4BB734AB"/>
    <w:rsid w:val="4BFE6D92"/>
    <w:rsid w:val="4C261D82"/>
    <w:rsid w:val="4C795CA6"/>
    <w:rsid w:val="4CB6332B"/>
    <w:rsid w:val="4D1958E0"/>
    <w:rsid w:val="4DB25B52"/>
    <w:rsid w:val="4DDB12EB"/>
    <w:rsid w:val="4E725BDD"/>
    <w:rsid w:val="4E7A70D9"/>
    <w:rsid w:val="4EC93D83"/>
    <w:rsid w:val="4EE56096"/>
    <w:rsid w:val="4F66721A"/>
    <w:rsid w:val="4FBB5BB3"/>
    <w:rsid w:val="4FD6030A"/>
    <w:rsid w:val="4FF104A6"/>
    <w:rsid w:val="4FFA31B0"/>
    <w:rsid w:val="4FFB65EC"/>
    <w:rsid w:val="50137E07"/>
    <w:rsid w:val="5076012C"/>
    <w:rsid w:val="50D243D5"/>
    <w:rsid w:val="50DC7FCF"/>
    <w:rsid w:val="514C1822"/>
    <w:rsid w:val="51673025"/>
    <w:rsid w:val="51C72B9C"/>
    <w:rsid w:val="52234D27"/>
    <w:rsid w:val="52F37E15"/>
    <w:rsid w:val="5325745B"/>
    <w:rsid w:val="53586E45"/>
    <w:rsid w:val="536B2519"/>
    <w:rsid w:val="53737E4B"/>
    <w:rsid w:val="53B46442"/>
    <w:rsid w:val="5485345F"/>
    <w:rsid w:val="54D86AB6"/>
    <w:rsid w:val="550C4CAC"/>
    <w:rsid w:val="55A47A9B"/>
    <w:rsid w:val="561320F9"/>
    <w:rsid w:val="56912CBF"/>
    <w:rsid w:val="56E04F59"/>
    <w:rsid w:val="57057BD8"/>
    <w:rsid w:val="57BD4C62"/>
    <w:rsid w:val="58556F44"/>
    <w:rsid w:val="58573898"/>
    <w:rsid w:val="589B55EA"/>
    <w:rsid w:val="58AA68C5"/>
    <w:rsid w:val="58B63AF2"/>
    <w:rsid w:val="59350DB0"/>
    <w:rsid w:val="59410FD2"/>
    <w:rsid w:val="5986516F"/>
    <w:rsid w:val="59C8443A"/>
    <w:rsid w:val="59F32F31"/>
    <w:rsid w:val="5B495206"/>
    <w:rsid w:val="5BE3383F"/>
    <w:rsid w:val="5C0B1A0D"/>
    <w:rsid w:val="5C7D445B"/>
    <w:rsid w:val="5C8311AD"/>
    <w:rsid w:val="5C84153A"/>
    <w:rsid w:val="5CE26B07"/>
    <w:rsid w:val="5CFA1734"/>
    <w:rsid w:val="5D3D635D"/>
    <w:rsid w:val="5DD66AB8"/>
    <w:rsid w:val="5EA52855"/>
    <w:rsid w:val="5F4D4C23"/>
    <w:rsid w:val="60334898"/>
    <w:rsid w:val="60585608"/>
    <w:rsid w:val="60860B2A"/>
    <w:rsid w:val="609450AF"/>
    <w:rsid w:val="612A33CA"/>
    <w:rsid w:val="61330941"/>
    <w:rsid w:val="61640763"/>
    <w:rsid w:val="61643F3E"/>
    <w:rsid w:val="618F5122"/>
    <w:rsid w:val="61931BEA"/>
    <w:rsid w:val="61CF6872"/>
    <w:rsid w:val="61E435D4"/>
    <w:rsid w:val="61E943F9"/>
    <w:rsid w:val="61EB6F9B"/>
    <w:rsid w:val="623641EF"/>
    <w:rsid w:val="63250EC0"/>
    <w:rsid w:val="63CC3156"/>
    <w:rsid w:val="63D3316E"/>
    <w:rsid w:val="6416425A"/>
    <w:rsid w:val="642B0CF0"/>
    <w:rsid w:val="64684D56"/>
    <w:rsid w:val="647B13BB"/>
    <w:rsid w:val="648F1B7B"/>
    <w:rsid w:val="65063408"/>
    <w:rsid w:val="651D1B01"/>
    <w:rsid w:val="65623261"/>
    <w:rsid w:val="660120DB"/>
    <w:rsid w:val="662B07A4"/>
    <w:rsid w:val="6655455C"/>
    <w:rsid w:val="66564031"/>
    <w:rsid w:val="667A75B4"/>
    <w:rsid w:val="668633FE"/>
    <w:rsid w:val="6687696B"/>
    <w:rsid w:val="66CF62BD"/>
    <w:rsid w:val="66D34B35"/>
    <w:rsid w:val="67305820"/>
    <w:rsid w:val="677B1989"/>
    <w:rsid w:val="678E0947"/>
    <w:rsid w:val="67CE1617"/>
    <w:rsid w:val="67F622E2"/>
    <w:rsid w:val="684E46B2"/>
    <w:rsid w:val="69673F39"/>
    <w:rsid w:val="69674CBF"/>
    <w:rsid w:val="697105A0"/>
    <w:rsid w:val="69885F1C"/>
    <w:rsid w:val="69E51946"/>
    <w:rsid w:val="6A0A3A71"/>
    <w:rsid w:val="6A1D0EB8"/>
    <w:rsid w:val="6A8A2556"/>
    <w:rsid w:val="6A986E6C"/>
    <w:rsid w:val="6ACF41BE"/>
    <w:rsid w:val="6AD723E1"/>
    <w:rsid w:val="6AE74D6E"/>
    <w:rsid w:val="6B282B2C"/>
    <w:rsid w:val="6B383C28"/>
    <w:rsid w:val="6B47662E"/>
    <w:rsid w:val="6B66495D"/>
    <w:rsid w:val="6B8F7503"/>
    <w:rsid w:val="6B98578F"/>
    <w:rsid w:val="6BF4391D"/>
    <w:rsid w:val="6C09581D"/>
    <w:rsid w:val="6C977843"/>
    <w:rsid w:val="6D2A4BC2"/>
    <w:rsid w:val="6D82727D"/>
    <w:rsid w:val="6D9517B0"/>
    <w:rsid w:val="6DB14ACA"/>
    <w:rsid w:val="6DC34773"/>
    <w:rsid w:val="6DC767D7"/>
    <w:rsid w:val="6DF851F3"/>
    <w:rsid w:val="6EDC7F2F"/>
    <w:rsid w:val="6F0906E3"/>
    <w:rsid w:val="6F441936"/>
    <w:rsid w:val="6F5F226C"/>
    <w:rsid w:val="6F6E46C4"/>
    <w:rsid w:val="6FE203B4"/>
    <w:rsid w:val="70BB39F0"/>
    <w:rsid w:val="71550E1F"/>
    <w:rsid w:val="716D0A98"/>
    <w:rsid w:val="71907A73"/>
    <w:rsid w:val="719521DA"/>
    <w:rsid w:val="71C415C7"/>
    <w:rsid w:val="71CF6E0C"/>
    <w:rsid w:val="72142535"/>
    <w:rsid w:val="72474335"/>
    <w:rsid w:val="731B140D"/>
    <w:rsid w:val="73F16534"/>
    <w:rsid w:val="74334907"/>
    <w:rsid w:val="74364978"/>
    <w:rsid w:val="74785742"/>
    <w:rsid w:val="74A21B82"/>
    <w:rsid w:val="74BC6B3A"/>
    <w:rsid w:val="74D26050"/>
    <w:rsid w:val="759F1F1B"/>
    <w:rsid w:val="75C055B1"/>
    <w:rsid w:val="75EF3413"/>
    <w:rsid w:val="76054662"/>
    <w:rsid w:val="763E3C85"/>
    <w:rsid w:val="76841551"/>
    <w:rsid w:val="76C43A85"/>
    <w:rsid w:val="770D3AA0"/>
    <w:rsid w:val="78463888"/>
    <w:rsid w:val="787D67A9"/>
    <w:rsid w:val="7A2E1204"/>
    <w:rsid w:val="7A3A532D"/>
    <w:rsid w:val="7AD87AFF"/>
    <w:rsid w:val="7ADD5D2E"/>
    <w:rsid w:val="7B932FB9"/>
    <w:rsid w:val="7BA52103"/>
    <w:rsid w:val="7BA91D3D"/>
    <w:rsid w:val="7BEA75AE"/>
    <w:rsid w:val="7C1B11AE"/>
    <w:rsid w:val="7C67197C"/>
    <w:rsid w:val="7CCC1CEF"/>
    <w:rsid w:val="7CF14F75"/>
    <w:rsid w:val="7D14641E"/>
    <w:rsid w:val="7DA0615A"/>
    <w:rsid w:val="7DC827E4"/>
    <w:rsid w:val="7E110579"/>
    <w:rsid w:val="7EEF3669"/>
    <w:rsid w:val="7EF04511"/>
    <w:rsid w:val="7F100AE0"/>
    <w:rsid w:val="7FAA2F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50" w:right="62" w:hanging="50" w:hangingChars="5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autoSpaceDE w:val="0"/>
      <w:autoSpaceDN w:val="0"/>
      <w:adjustRightInd w:val="0"/>
      <w:spacing w:line="480" w:lineRule="exact"/>
      <w:jc w:val="left"/>
      <w:textAlignment w:val="baseline"/>
    </w:pPr>
    <w:rPr>
      <w:rFonts w:ascii="宋体"/>
      <w:kern w:val="0"/>
      <w:sz w:val="32"/>
      <w:szCs w:val="20"/>
    </w:rPr>
  </w:style>
  <w:style w:type="paragraph" w:styleId="3">
    <w:name w:val="toc 5"/>
    <w:basedOn w:val="1"/>
    <w:next w:val="1"/>
    <w:qFormat/>
    <w:uiPriority w:val="0"/>
    <w:pPr>
      <w:ind w:left="1680" w:leftChars="800"/>
    </w:pPr>
  </w:style>
  <w:style w:type="paragraph" w:styleId="4">
    <w:name w:val="annotation text"/>
    <w:basedOn w:val="1"/>
    <w:link w:val="21"/>
    <w:semiHidden/>
    <w:unhideWhenUsed/>
    <w:qFormat/>
    <w:uiPriority w:val="99"/>
    <w:pPr>
      <w:jc w:val="left"/>
    </w:pPr>
  </w:style>
  <w:style w:type="paragraph" w:styleId="5">
    <w:name w:val="Plain Text"/>
    <w:basedOn w:val="1"/>
    <w:link w:val="24"/>
    <w:qFormat/>
    <w:uiPriority w:val="99"/>
    <w:pPr>
      <w:spacing w:line="240" w:lineRule="auto"/>
      <w:ind w:left="0" w:right="0" w:firstLine="0" w:firstLineChars="0"/>
    </w:pPr>
    <w:rPr>
      <w:rFonts w:ascii="宋体" w:hAnsi="Courier New" w:cstheme="minorBidi"/>
      <w:szCs w:val="22"/>
    </w:rPr>
  </w:style>
  <w:style w:type="paragraph" w:styleId="6">
    <w:name w:val="Balloon Text"/>
    <w:basedOn w:val="1"/>
    <w:link w:val="16"/>
    <w:semiHidden/>
    <w:unhideWhenUsed/>
    <w:qFormat/>
    <w:uiPriority w:val="99"/>
    <w:pPr>
      <w:spacing w:line="240" w:lineRule="auto"/>
    </w:pPr>
    <w:rPr>
      <w:sz w:val="18"/>
      <w:szCs w:val="18"/>
    </w:rPr>
  </w:style>
  <w:style w:type="paragraph" w:styleId="7">
    <w:name w:val="footer"/>
    <w:basedOn w:val="1"/>
    <w:link w:val="20"/>
    <w:unhideWhenUsed/>
    <w:qFormat/>
    <w:uiPriority w:val="0"/>
    <w:pPr>
      <w:tabs>
        <w:tab w:val="center" w:pos="4153"/>
        <w:tab w:val="right" w:pos="8306"/>
      </w:tabs>
      <w:snapToGrid w:val="0"/>
      <w:spacing w:line="240" w:lineRule="auto"/>
      <w:jc w:val="lef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annotation subject"/>
    <w:basedOn w:val="4"/>
    <w:next w:val="4"/>
    <w:link w:val="22"/>
    <w:semiHidden/>
    <w:unhideWhenUsed/>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semiHidden/>
    <w:unhideWhenUsed/>
    <w:qFormat/>
    <w:uiPriority w:val="99"/>
    <w:rPr>
      <w:color w:val="800080"/>
      <w:u w:val="single"/>
    </w:rPr>
  </w:style>
  <w:style w:type="character" w:styleId="14">
    <w:name w:val="Hyperlink"/>
    <w:basedOn w:val="12"/>
    <w:semiHidden/>
    <w:unhideWhenUsed/>
    <w:qFormat/>
    <w:uiPriority w:val="99"/>
    <w:rPr>
      <w:color w:val="0000FF"/>
      <w:u w:val="single"/>
    </w:rPr>
  </w:style>
  <w:style w:type="character" w:styleId="15">
    <w:name w:val="annotation reference"/>
    <w:basedOn w:val="12"/>
    <w:semiHidden/>
    <w:unhideWhenUsed/>
    <w:qFormat/>
    <w:uiPriority w:val="99"/>
    <w:rPr>
      <w:sz w:val="21"/>
      <w:szCs w:val="21"/>
    </w:rPr>
  </w:style>
  <w:style w:type="character" w:customStyle="1" w:styleId="16">
    <w:name w:val="批注框文本 Char"/>
    <w:basedOn w:val="12"/>
    <w:link w:val="6"/>
    <w:semiHidden/>
    <w:qFormat/>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12"/>
    <w:link w:val="8"/>
    <w:qFormat/>
    <w:uiPriority w:val="0"/>
    <w:rPr>
      <w:rFonts w:ascii="Times New Roman" w:hAnsi="Times New Roman" w:eastAsia="宋体" w:cs="Times New Roman"/>
      <w:sz w:val="18"/>
      <w:szCs w:val="18"/>
    </w:rPr>
  </w:style>
  <w:style w:type="character" w:customStyle="1" w:styleId="20">
    <w:name w:val="页脚 Char"/>
    <w:basedOn w:val="12"/>
    <w:link w:val="7"/>
    <w:qFormat/>
    <w:uiPriority w:val="0"/>
    <w:rPr>
      <w:rFonts w:ascii="Times New Roman" w:hAnsi="Times New Roman" w:eastAsia="宋体" w:cs="Times New Roman"/>
      <w:sz w:val="18"/>
      <w:szCs w:val="18"/>
    </w:rPr>
  </w:style>
  <w:style w:type="character" w:customStyle="1" w:styleId="21">
    <w:name w:val="批注文字 Char"/>
    <w:basedOn w:val="12"/>
    <w:link w:val="4"/>
    <w:semiHidden/>
    <w:qFormat/>
    <w:uiPriority w:val="99"/>
    <w:rPr>
      <w:rFonts w:ascii="Times New Roman" w:hAnsi="Times New Roman" w:eastAsia="宋体" w:cs="Times New Roman"/>
      <w:szCs w:val="24"/>
    </w:rPr>
  </w:style>
  <w:style w:type="character" w:customStyle="1" w:styleId="22">
    <w:name w:val="批注主题 Char"/>
    <w:basedOn w:val="21"/>
    <w:link w:val="9"/>
    <w:semiHidden/>
    <w:qFormat/>
    <w:uiPriority w:val="99"/>
    <w:rPr>
      <w:rFonts w:ascii="Times New Roman" w:hAnsi="Times New Roman" w:eastAsia="宋体" w:cs="Times New Roman"/>
      <w:b/>
      <w:bCs/>
      <w:szCs w:val="24"/>
    </w:rPr>
  </w:style>
  <w:style w:type="character" w:customStyle="1" w:styleId="23">
    <w:name w:val="纯文本 Char"/>
    <w:link w:val="5"/>
    <w:qFormat/>
    <w:uiPriority w:val="99"/>
    <w:rPr>
      <w:rFonts w:ascii="宋体" w:hAnsi="Courier New" w:eastAsia="宋体"/>
    </w:rPr>
  </w:style>
  <w:style w:type="character" w:customStyle="1" w:styleId="24">
    <w:name w:val="纯文本 Char1"/>
    <w:basedOn w:val="12"/>
    <w:link w:val="5"/>
    <w:semiHidden/>
    <w:qFormat/>
    <w:uiPriority w:val="99"/>
    <w:rPr>
      <w:rFonts w:ascii="宋体" w:hAnsi="Courier New" w:eastAsia="宋体" w:cs="Courier New"/>
      <w:szCs w:val="21"/>
    </w:rPr>
  </w:style>
  <w:style w:type="character" w:customStyle="1" w:styleId="25">
    <w:name w:val="font01"/>
    <w:basedOn w:val="12"/>
    <w:qFormat/>
    <w:uiPriority w:val="0"/>
    <w:rPr>
      <w:rFonts w:hint="eastAsia" w:ascii="宋体" w:hAnsi="宋体" w:eastAsia="宋体" w:cs="宋体"/>
      <w:color w:val="000000"/>
      <w:sz w:val="22"/>
      <w:szCs w:val="22"/>
      <w:u w:val="none"/>
    </w:rPr>
  </w:style>
  <w:style w:type="character" w:customStyle="1" w:styleId="26">
    <w:name w:val="font31"/>
    <w:basedOn w:val="12"/>
    <w:qFormat/>
    <w:uiPriority w:val="0"/>
    <w:rPr>
      <w:rFonts w:hint="eastAsia" w:ascii="宋体" w:hAnsi="宋体" w:eastAsia="宋体" w:cs="宋体"/>
      <w:color w:val="000000"/>
      <w:sz w:val="22"/>
      <w:szCs w:val="22"/>
      <w:u w:val="none"/>
    </w:rPr>
  </w:style>
  <w:style w:type="character" w:customStyle="1" w:styleId="27">
    <w:name w:val="font21"/>
    <w:basedOn w:val="12"/>
    <w:qFormat/>
    <w:uiPriority w:val="0"/>
    <w:rPr>
      <w:rFonts w:hint="eastAsia" w:ascii="宋体" w:hAnsi="宋体" w:eastAsia="宋体" w:cs="宋体"/>
      <w:color w:val="FF0000"/>
      <w:sz w:val="24"/>
      <w:szCs w:val="24"/>
      <w:u w:val="none"/>
    </w:rPr>
  </w:style>
  <w:style w:type="character" w:customStyle="1" w:styleId="28">
    <w:name w:val="font11"/>
    <w:basedOn w:val="12"/>
    <w:qFormat/>
    <w:uiPriority w:val="0"/>
    <w:rPr>
      <w:rFonts w:hint="eastAsia" w:ascii="宋体" w:hAnsi="宋体" w:eastAsia="宋体" w:cs="宋体"/>
      <w:color w:val="000000"/>
      <w:sz w:val="24"/>
      <w:szCs w:val="24"/>
      <w:u w:val="none"/>
    </w:rPr>
  </w:style>
  <w:style w:type="paragraph" w:customStyle="1" w:styleId="29">
    <w:name w:val="font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18"/>
      <w:szCs w:val="18"/>
    </w:rPr>
  </w:style>
  <w:style w:type="paragraph" w:customStyle="1" w:styleId="30">
    <w:name w:val="font6"/>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1">
    <w:name w:val="font7"/>
    <w:basedOn w:val="1"/>
    <w:qFormat/>
    <w:uiPriority w:val="0"/>
    <w:pPr>
      <w:widowControl/>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32">
    <w:name w:val="xl6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3">
    <w:name w:val="xl66"/>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34">
    <w:name w:val="xl67"/>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5">
    <w:name w:val="xl68"/>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8"/>
      <w:szCs w:val="28"/>
    </w:rPr>
  </w:style>
  <w:style w:type="paragraph" w:customStyle="1" w:styleId="36">
    <w:name w:val="xl69"/>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7">
    <w:name w:val="xl70"/>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8">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0">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1">
    <w:name w:val="xl74"/>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2">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8">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9">
    <w:name w:val="xl82"/>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50">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51">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5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6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6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6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63">
    <w:name w:val="null3"/>
    <w:hidden/>
    <w:qFormat/>
    <w:uiPriority w:val="0"/>
    <w:rPr>
      <w:rFonts w:hint="eastAsia" w:asciiTheme="minorHAnsi" w:hAnsiTheme="minorHAnsi" w:eastAsiaTheme="minorEastAsia" w:cstheme="minorBidi"/>
      <w:lang w:val="en-US" w:eastAsia="zh-Hans"/>
    </w:rPr>
  </w:style>
  <w:style w:type="character" w:customStyle="1" w:styleId="64">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1234</Words>
  <Characters>1256</Characters>
  <Lines>17</Lines>
  <Paragraphs>5</Paragraphs>
  <TotalTime>22</TotalTime>
  <ScaleCrop>false</ScaleCrop>
  <LinksUpToDate>false</LinksUpToDate>
  <CharactersWithSpaces>1257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2024-03-07T07:56:00Z</dcterms:created>
  <dc:creator>gyong</dc:creator>
  <cp:lastModifiedBy>Administrator</cp:lastModifiedBy>
  <cp:lastPrinted>2022-06-16T00:55:00Z</cp:lastPrinted>
  <dcterms:modified xsi:type="dcterms:W3CDTF">2024-11-07T08:03:38Z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F95AB2E5FFAD4C89A7FDAEA616304AF9_13</vt:lpwstr>
  </property>
</Properties>
</file>