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2268"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需求科室/部门</w:t>
            </w:r>
          </w:p>
        </w:tc>
        <w:tc>
          <w:tcPr>
            <w:tcW w:w="2508"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default" w:ascii="仿宋" w:hAnsi="仿宋" w:eastAsia="仿宋" w:cs="仿宋"/>
                <w:color w:val="auto"/>
                <w:sz w:val="24"/>
                <w:lang w:val="en-US" w:eastAsia="zh-CN"/>
              </w:rPr>
            </w:pPr>
            <w:r>
              <w:rPr>
                <w:rFonts w:hint="eastAsia" w:ascii="宋体" w:hAnsi="宋体" w:cs="仿宋"/>
                <w:color w:val="auto"/>
                <w:sz w:val="24"/>
              </w:rPr>
              <w:t>高清鼻内镜系统</w:t>
            </w:r>
          </w:p>
        </w:tc>
        <w:tc>
          <w:tcPr>
            <w:tcW w:w="2268" w:type="dxa"/>
          </w:tcPr>
          <w:p>
            <w:pPr>
              <w:spacing w:line="440" w:lineRule="exact"/>
              <w:rPr>
                <w:rFonts w:hint="default" w:ascii="仿宋" w:hAnsi="仿宋" w:eastAsia="仿宋" w:cs="仿宋"/>
                <w:color w:val="auto"/>
                <w:sz w:val="24"/>
                <w:lang w:val="en-US" w:eastAsia="zh-CN"/>
              </w:rPr>
            </w:pPr>
            <w:r>
              <w:rPr>
                <w:rFonts w:hint="eastAsia" w:ascii="宋体" w:hAnsi="宋体" w:cs="仿宋"/>
                <w:color w:val="auto"/>
                <w:sz w:val="24"/>
              </w:rPr>
              <w:t>耳鼻喉</w:t>
            </w:r>
          </w:p>
        </w:tc>
        <w:tc>
          <w:tcPr>
            <w:tcW w:w="2508" w:type="dxa"/>
          </w:tcPr>
          <w:p>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r>
    </w:tbl>
    <w:p>
      <w:pPr>
        <w:spacing w:line="440" w:lineRule="exact"/>
        <w:rPr>
          <w:rFonts w:ascii="仿宋" w:hAnsi="仿宋" w:eastAsia="仿宋" w:cs="仿宋"/>
          <w:color w:val="auto"/>
          <w:sz w:val="24"/>
        </w:rPr>
      </w:pPr>
      <w:r>
        <w:rPr>
          <w:rFonts w:hint="eastAsia" w:ascii="仿宋" w:hAnsi="仿宋" w:eastAsia="仿宋" w:cs="仿宋"/>
          <w:b/>
          <w:bCs/>
          <w:color w:val="auto"/>
          <w:sz w:val="24"/>
        </w:rPr>
        <w:t>核心产品</w:t>
      </w:r>
      <w:r>
        <w:rPr>
          <w:rFonts w:hint="eastAsia" w:ascii="仿宋" w:hAnsi="仿宋" w:eastAsia="仿宋" w:cs="仿宋"/>
          <w:color w:val="auto"/>
          <w:sz w:val="24"/>
        </w:rPr>
        <w:t>：高清鼻窦镜</w:t>
      </w:r>
    </w:p>
    <w:p>
      <w:pPr>
        <w:spacing w:line="440" w:lineRule="exact"/>
        <w:rPr>
          <w:rFonts w:ascii="仿宋" w:hAnsi="仿宋" w:eastAsia="仿宋" w:cs="仿宋"/>
          <w:b/>
          <w:bCs/>
          <w:color w:val="auto"/>
          <w:sz w:val="24"/>
        </w:rPr>
      </w:pPr>
    </w:p>
    <w:p>
      <w:pPr>
        <w:spacing w:line="440" w:lineRule="exact"/>
        <w:rPr>
          <w:rFonts w:hint="eastAsia" w:ascii="仿宋" w:hAnsi="仿宋" w:eastAsia="仿宋" w:cs="仿宋"/>
          <w:color w:val="000000" w:themeColor="text1"/>
          <w:sz w:val="24"/>
        </w:rPr>
      </w:pPr>
      <w:r>
        <w:rPr>
          <w:rFonts w:hint="eastAsia" w:ascii="仿宋" w:hAnsi="仿宋" w:eastAsia="仿宋" w:cs="仿宋"/>
          <w:b/>
          <w:bCs/>
          <w:color w:val="000000" w:themeColor="text1"/>
          <w:sz w:val="24"/>
        </w:rPr>
        <w:t>用途：</w:t>
      </w:r>
      <w:r>
        <w:rPr>
          <w:rFonts w:hint="eastAsia" w:ascii="仿宋" w:hAnsi="仿宋" w:eastAsia="仿宋" w:cs="仿宋"/>
          <w:color w:val="000000" w:themeColor="text1"/>
          <w:sz w:val="24"/>
        </w:rPr>
        <w:t>可以开展以下手术①诊断早期鼻咽癌。②寻找鼻内出血点及良恶性肿物，行手术处理。③鼻中隔偏曲纠正术。④过敏鼻炎手术治疗。⑤鼻咽腺样体肥大切除术。⑥鼻腔泪囊吻合术（免面部开刀）。⑦视神经外伤的减压术。⑧脑脊液鼻漏的修补术等。</w:t>
      </w:r>
    </w:p>
    <w:p>
      <w:pPr>
        <w:spacing w:line="440" w:lineRule="exact"/>
        <w:rPr>
          <w:rFonts w:ascii="仿宋" w:hAnsi="仿宋" w:eastAsia="仿宋" w:cs="仿宋"/>
          <w:b/>
          <w:color w:val="auto"/>
          <w:sz w:val="24"/>
        </w:rPr>
      </w:pPr>
    </w:p>
    <w:p>
      <w:pPr>
        <w:numPr>
          <w:ilvl w:val="0"/>
          <w:numId w:val="4"/>
        </w:numPr>
        <w:spacing w:line="440" w:lineRule="exact"/>
        <w:rPr>
          <w:rFonts w:hint="eastAsia" w:eastAsia="宋体"/>
          <w:lang w:eastAsia="zh-CN"/>
        </w:rPr>
      </w:pPr>
      <w:r>
        <w:rPr>
          <w:rFonts w:hint="eastAsia" w:ascii="仿宋" w:hAnsi="仿宋" w:eastAsia="仿宋" w:cs="仿宋"/>
          <w:b/>
          <w:color w:val="auto"/>
          <w:sz w:val="24"/>
        </w:rPr>
        <w:t>技术参数：</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jc w:val="left"/>
        <w:rPr>
          <w:rFonts w:hint="eastAsia"/>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8522" w:type="dxa"/>
          </w:tcPr>
          <w:p>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p>
            <w:pPr>
              <w:pStyle w:val="12"/>
              <w:ind w:left="420"/>
              <w:rPr>
                <w:rFonts w:hint="eastAsia"/>
              </w:rPr>
            </w:pPr>
          </w:p>
          <w:p>
            <w:pPr>
              <w:pStyle w:val="12"/>
              <w:ind w:left="0" w:leftChars="0" w:firstLine="632" w:firstLineChars="300"/>
              <w:rPr>
                <w:rFonts w:hint="eastAsia"/>
                <w:b/>
                <w:bCs/>
              </w:rPr>
            </w:pPr>
            <w:r>
              <w:rPr>
                <w:rFonts w:hint="eastAsia"/>
                <w:b/>
                <w:bCs/>
              </w:rPr>
              <w:t>（</w:t>
            </w:r>
            <w:r>
              <w:rPr>
                <w:rFonts w:hint="eastAsia"/>
                <w:b/>
                <w:bCs/>
                <w:lang w:val="en-US" w:eastAsia="zh-CN"/>
              </w:rPr>
              <w:t>一</w:t>
            </w:r>
            <w:r>
              <w:rPr>
                <w:rFonts w:hint="eastAsia"/>
                <w:b/>
                <w:bCs/>
              </w:rPr>
              <w:t>）</w:t>
            </w:r>
            <w:r>
              <w:rPr>
                <w:b/>
                <w:bCs/>
              </w:rPr>
              <w:tab/>
            </w:r>
            <w:r>
              <w:rPr>
                <w:b/>
                <w:bCs/>
              </w:rPr>
              <w:t>高清影像</w:t>
            </w:r>
            <w:r>
              <w:rPr>
                <w:rFonts w:hint="eastAsia"/>
                <w:b/>
                <w:bCs/>
                <w:lang w:val="en-US" w:eastAsia="zh-CN"/>
              </w:rPr>
              <w:t>主机</w:t>
            </w:r>
            <w:r>
              <w:rPr>
                <w:b/>
                <w:bCs/>
              </w:rPr>
              <w:t>模块</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输出分辨率支持≥1920x1080，逐行扫描；</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集成图文工作站功能，可术中记录</w:t>
            </w:r>
            <w:bookmarkStart w:id="0" w:name="_Hlk181359846"/>
            <w:r>
              <w:rPr>
                <w:rFonts w:hint="eastAsia" w:ascii="仿宋" w:hAnsi="仿宋" w:eastAsia="仿宋" w:cs="仿宋"/>
                <w:color w:val="000000" w:themeColor="text1"/>
                <w:kern w:val="2"/>
                <w:sz w:val="24"/>
                <w:szCs w:val="24"/>
                <w:lang w:val="en-US" w:eastAsia="zh-CN" w:bidi="ar-SA"/>
              </w:rPr>
              <w:t>≥</w:t>
            </w:r>
            <w:bookmarkEnd w:id="0"/>
            <w:r>
              <w:rPr>
                <w:rFonts w:hint="eastAsia" w:ascii="仿宋" w:hAnsi="仿宋" w:eastAsia="仿宋" w:cs="仿宋"/>
                <w:color w:val="000000" w:themeColor="text1"/>
                <w:kern w:val="2"/>
                <w:sz w:val="24"/>
                <w:szCs w:val="24"/>
                <w:lang w:val="en-US" w:eastAsia="zh-CN" w:bidi="ar-SA"/>
              </w:rPr>
              <w:t>1920x1080P全高清录像及≥1920x1080高清图片；</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主机内有两个图像处理器，可同时处理两路图像信号，进行标准画面与增强画面进行同屏对比显示；</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可实现单平台双图显示，两幅不同腔镜图像在同一显示器分屏显示；</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可通过画中画功能实现≥4种同屏显示模式；</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术野画面≥5级亮度可调；</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术野画面≥5级电子放大功能；</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术野可添加指示栅栏和标记点。</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术野画面可实现上下、左右及180°翻转功能；</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≥2种纤维镜图像优化功能；</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 个USB接口；</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输出端口：3G-SDI数字端口1个，DVI-D数字端口2个；</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同时兼容PAL制和NTSC制；</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主机具有兼容性、可升级；</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可通过摄像头、键盘多种方式控制录像，拍照；</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可实现连接打印机即时打印功能；</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可预存患者信息；</w:t>
            </w:r>
          </w:p>
          <w:p>
            <w:pPr>
              <w:pStyle w:val="12"/>
              <w:numPr>
                <w:ilvl w:val="0"/>
                <w:numId w:val="5"/>
              </w:numPr>
              <w:ind w:left="84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电气安全：医用设备电气安全CF类</w:t>
            </w:r>
          </w:p>
          <w:p>
            <w:pPr>
              <w:pStyle w:val="12"/>
              <w:ind w:left="420"/>
            </w:pPr>
          </w:p>
          <w:p>
            <w:pPr>
              <w:pStyle w:val="12"/>
              <w:ind w:left="420"/>
              <w:rPr>
                <w:rFonts w:hint="eastAsia"/>
                <w:b/>
                <w:bCs/>
              </w:rPr>
            </w:pPr>
            <w:r>
              <w:rPr>
                <w:rFonts w:hint="eastAsia"/>
                <w:b/>
                <w:bCs/>
              </w:rPr>
              <w:t>（</w:t>
            </w:r>
            <w:r>
              <w:rPr>
                <w:rFonts w:hint="eastAsia"/>
                <w:b/>
                <w:bCs/>
                <w:lang w:val="en-US" w:eastAsia="zh-CN"/>
              </w:rPr>
              <w:t>二</w:t>
            </w:r>
            <w:r>
              <w:rPr>
                <w:rFonts w:hint="eastAsia"/>
                <w:b/>
                <w:bCs/>
              </w:rPr>
              <w:t>）</w:t>
            </w:r>
            <w:r>
              <w:rPr>
                <w:b/>
                <w:bCs/>
              </w:rPr>
              <w:t>高清摄像头</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与主机同一品牌；</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采集像素：摄像头像素</w:t>
            </w:r>
            <w:bookmarkStart w:id="1" w:name="_Hlk181359770"/>
            <w:r>
              <w:rPr>
                <w:rFonts w:hint="eastAsia" w:ascii="仿宋" w:hAnsi="仿宋" w:eastAsia="仿宋" w:cs="仿宋"/>
                <w:color w:val="000000" w:themeColor="text1"/>
                <w:kern w:val="2"/>
                <w:sz w:val="24"/>
                <w:szCs w:val="24"/>
                <w:lang w:val="en-US" w:eastAsia="zh-CN" w:bidi="ar-SA"/>
              </w:rPr>
              <w:t>≥</w:t>
            </w:r>
            <w:bookmarkEnd w:id="1"/>
            <w:r>
              <w:rPr>
                <w:rFonts w:hint="eastAsia" w:ascii="仿宋" w:hAnsi="仿宋" w:eastAsia="仿宋" w:cs="仿宋"/>
                <w:color w:val="000000" w:themeColor="text1"/>
                <w:kern w:val="2"/>
                <w:sz w:val="24"/>
                <w:szCs w:val="24"/>
                <w:lang w:val="en-US" w:eastAsia="zh-CN" w:bidi="ar-SA"/>
              </w:rPr>
              <w:t>1920 x 1080，≥3个CCD芯片；</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一体化不可拆分式摄像头，调焦环单独设置；</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摄像头重量：≤246g，最小照度（灵敏度）≤1.3lux(f=1.4条件下)；</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可实现通过摄像头按键控制冷光源等；</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摄像头≥3个，按键可设置≥4种快捷键，可预设功能至少包括术野录像拍照、打印，调节白平衡、亮度、增益、色彩；</w:t>
            </w:r>
          </w:p>
          <w:p>
            <w:pPr>
              <w:pStyle w:val="12"/>
              <w:numPr>
                <w:ilvl w:val="0"/>
                <w:numId w:val="6"/>
              </w:numPr>
              <w:ind w:left="635" w:leftChars="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摄像头插头坚固耐用不易折断；</w:t>
            </w:r>
          </w:p>
          <w:p>
            <w:pPr>
              <w:pStyle w:val="12"/>
              <w:numPr>
                <w:ilvl w:val="0"/>
                <w:numId w:val="6"/>
              </w:numPr>
              <w:ind w:left="635" w:leftChars="0" w:hanging="425" w:firstLineChars="0"/>
            </w:pPr>
            <w:r>
              <w:rPr>
                <w:rFonts w:hint="eastAsia" w:ascii="仿宋" w:hAnsi="仿宋" w:eastAsia="仿宋" w:cs="仿宋"/>
                <w:color w:val="000000" w:themeColor="text1"/>
                <w:kern w:val="2"/>
                <w:sz w:val="24"/>
                <w:szCs w:val="24"/>
                <w:lang w:val="en-US" w:eastAsia="zh-CN" w:bidi="ar-SA"/>
              </w:rPr>
              <w:t>摄像头可连接各种规格的光学内窥镜、纤维内镜等；</w:t>
            </w:r>
          </w:p>
          <w:p>
            <w:pPr>
              <w:pStyle w:val="12"/>
              <w:numPr>
                <w:ilvl w:val="0"/>
                <w:numId w:val="6"/>
              </w:numPr>
              <w:ind w:left="635" w:leftChars="0" w:hanging="425" w:firstLineChars="0"/>
            </w:pPr>
            <w:r>
              <w:rPr>
                <w:rFonts w:hint="eastAsia" w:ascii="仿宋" w:hAnsi="仿宋" w:eastAsia="仿宋" w:cs="仿宋"/>
                <w:color w:val="000000" w:themeColor="text1"/>
                <w:kern w:val="2"/>
                <w:sz w:val="24"/>
                <w:szCs w:val="24"/>
                <w:lang w:val="en-US" w:eastAsia="zh-CN" w:bidi="ar-SA"/>
              </w:rPr>
              <w:t>电气安全：医用设备电气安全CF类</w:t>
            </w:r>
          </w:p>
          <w:p>
            <w:pPr>
              <w:pStyle w:val="12"/>
              <w:ind w:left="420"/>
              <w:rPr>
                <w:rFonts w:hint="eastAsia"/>
              </w:rPr>
            </w:pPr>
          </w:p>
          <w:p>
            <w:pPr>
              <w:pStyle w:val="12"/>
              <w:ind w:left="420"/>
              <w:rPr>
                <w:rFonts w:hint="eastAsia"/>
                <w:b/>
                <w:bCs/>
              </w:rPr>
            </w:pPr>
            <w:r>
              <w:rPr>
                <w:rFonts w:hint="eastAsia"/>
                <w:b/>
                <w:bCs/>
              </w:rPr>
              <w:t>（三）</w:t>
            </w:r>
            <w:r>
              <w:rPr>
                <w:b/>
                <w:bCs/>
              </w:rPr>
              <w:tab/>
            </w:r>
            <w:r>
              <w:rPr>
                <w:b/>
                <w:bCs/>
              </w:rPr>
              <w:t>高清光学镜模块</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t>1、</w:t>
            </w:r>
            <w:r>
              <w:rPr>
                <w:rFonts w:hint="eastAsia" w:ascii="仿宋" w:hAnsi="仿宋" w:eastAsia="仿宋" w:cs="仿宋"/>
                <w:color w:val="000000" w:themeColor="text1"/>
                <w:kern w:val="2"/>
                <w:sz w:val="24"/>
                <w:szCs w:val="24"/>
                <w:lang w:val="en-US" w:eastAsia="zh-CN" w:bidi="ar-SA"/>
              </w:rPr>
              <w:t>全数字化传输数据；</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2、可连接≥6种全高清三晶片摄像头，包含全高清显微镜摄像头；</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3、配备数据串行传输接口。</w:t>
            </w:r>
          </w:p>
          <w:p>
            <w:pPr>
              <w:pStyle w:val="12"/>
              <w:ind w:left="0" w:leftChars="0" w:firstLine="0" w:firstLineChars="0"/>
              <w:rPr>
                <w:rFonts w:hint="eastAsia"/>
              </w:rPr>
            </w:pPr>
          </w:p>
          <w:p>
            <w:pPr>
              <w:pStyle w:val="12"/>
              <w:ind w:left="0" w:leftChars="0" w:firstLine="0" w:firstLineChars="0"/>
              <w:rPr>
                <w:rFonts w:hint="eastAsia"/>
              </w:rPr>
            </w:pPr>
          </w:p>
          <w:p>
            <w:pPr>
              <w:pStyle w:val="12"/>
              <w:ind w:left="420"/>
              <w:rPr>
                <w:rFonts w:hint="eastAsia"/>
                <w:b/>
                <w:bCs/>
              </w:rPr>
            </w:pPr>
            <w:r>
              <w:rPr>
                <w:rFonts w:hint="eastAsia"/>
                <w:b/>
                <w:bCs/>
              </w:rPr>
              <w:t>（四）</w:t>
            </w:r>
            <w:r>
              <w:rPr>
                <w:b/>
                <w:bCs/>
              </w:rPr>
              <w:t xml:space="preserve"> 高清医用监视器</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1、与主机同一品牌；</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2、支持1080p数字高清图像显示；</w:t>
            </w:r>
          </w:p>
          <w:p>
            <w:pPr>
              <w:pStyle w:val="12"/>
              <w:numPr>
                <w:ilvl w:val="0"/>
                <w:numId w:val="0"/>
              </w:numPr>
              <w:ind w:left="635" w:leftChars="10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3、≥26吋，全高清格式；</w:t>
            </w:r>
          </w:p>
          <w:p>
            <w:pPr>
              <w:pStyle w:val="12"/>
              <w:numPr>
                <w:ilvl w:val="0"/>
                <w:numId w:val="0"/>
              </w:numPr>
              <w:ind w:left="635" w:leftChars="100" w:hanging="425" w:firstLineChars="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4、配备标准的输入/输出端口。</w:t>
            </w:r>
          </w:p>
          <w:p>
            <w:pPr>
              <w:pStyle w:val="12"/>
              <w:ind w:left="420"/>
              <w:rPr>
                <w:rFonts w:hint="eastAsia"/>
              </w:rPr>
            </w:pPr>
          </w:p>
          <w:p>
            <w:pPr>
              <w:pStyle w:val="12"/>
              <w:ind w:left="420"/>
              <w:rPr>
                <w:rFonts w:hint="eastAsia"/>
              </w:rPr>
            </w:pPr>
            <w:r>
              <w:rPr>
                <w:rFonts w:hint="eastAsia"/>
              </w:rPr>
              <w:t>（</w:t>
            </w:r>
            <w:r>
              <w:rPr>
                <w:rFonts w:hint="eastAsia"/>
                <w:b/>
                <w:bCs/>
              </w:rPr>
              <w:t>五）</w:t>
            </w:r>
            <w:r>
              <w:rPr>
                <w:b/>
                <w:bCs/>
              </w:rPr>
              <w:t xml:space="preserve">  冷光源</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1、与主机同一品牌；</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2、功率≥300W；</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3、灯泡寿命≥500小时，灯泡寿命预警；</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4、色温接近日光，光强度可连续调节，自动调光；</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5、导光束：直径≥3.5 mm，长度≥230cm；</w:t>
            </w:r>
          </w:p>
          <w:p>
            <w:pPr>
              <w:pStyle w:val="12"/>
              <w:numPr>
                <w:ilvl w:val="0"/>
                <w:numId w:val="0"/>
              </w:numPr>
              <w:ind w:leftChars="1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6、电气安全：医用设备电气安全CF类</w:t>
            </w:r>
          </w:p>
          <w:p>
            <w:pPr>
              <w:pStyle w:val="12"/>
              <w:ind w:left="420"/>
              <w:rPr>
                <w:rFonts w:hint="eastAsia"/>
              </w:rPr>
            </w:pPr>
          </w:p>
          <w:p>
            <w:pPr>
              <w:pStyle w:val="12"/>
              <w:ind w:left="420"/>
              <w:rPr>
                <w:rFonts w:hint="eastAsia"/>
              </w:rPr>
            </w:pPr>
          </w:p>
          <w:p>
            <w:pPr>
              <w:pStyle w:val="12"/>
              <w:ind w:left="420"/>
              <w:rPr>
                <w:rFonts w:hint="eastAsia"/>
                <w:b/>
                <w:bCs/>
              </w:rPr>
            </w:pPr>
            <w:r>
              <w:rPr>
                <w:rFonts w:hint="eastAsia"/>
                <w:b/>
                <w:bCs/>
              </w:rPr>
              <w:t>（六）鼻内镜</w:t>
            </w:r>
          </w:p>
          <w:p>
            <w:pPr>
              <w:pStyle w:val="12"/>
              <w:numPr>
                <w:ilvl w:val="0"/>
                <w:numId w:val="0"/>
              </w:numPr>
              <w:ind w:left="690" w:leftChars="100" w:hanging="480" w:hangingChars="200"/>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1．图像无球面失真，平面图像，广角，大视野。可浸泡、气熏或高温高压毒，0°直视式内镜，广角，直径</w:t>
            </w:r>
            <w:bookmarkStart w:id="2" w:name="_Hlk181360003"/>
            <w:r>
              <w:rPr>
                <w:rFonts w:hint="eastAsia" w:ascii="仿宋" w:hAnsi="仿宋" w:eastAsia="仿宋" w:cs="仿宋"/>
                <w:color w:val="000000" w:themeColor="text1"/>
                <w:kern w:val="2"/>
                <w:sz w:val="24"/>
                <w:szCs w:val="24"/>
                <w:lang w:val="en-US" w:eastAsia="zh-CN" w:bidi="ar-SA"/>
              </w:rPr>
              <w:t>≤</w:t>
            </w:r>
            <w:bookmarkEnd w:id="2"/>
            <w:r>
              <w:rPr>
                <w:rFonts w:hint="eastAsia" w:ascii="仿宋" w:hAnsi="仿宋" w:eastAsia="仿宋" w:cs="仿宋"/>
                <w:color w:val="000000" w:themeColor="text1"/>
                <w:kern w:val="2"/>
                <w:sz w:val="24"/>
                <w:szCs w:val="24"/>
                <w:lang w:val="en-US" w:eastAsia="zh-CN" w:bidi="ar-SA"/>
              </w:rPr>
              <w:t>4 mm，有效工作长度≥18 cm，集成光纤传输；</w:t>
            </w:r>
          </w:p>
          <w:p>
            <w:pPr>
              <w:pStyle w:val="12"/>
              <w:numPr>
                <w:ilvl w:val="0"/>
                <w:numId w:val="0"/>
              </w:numPr>
              <w:ind w:left="450" w:leftChars="100" w:hanging="240" w:hangingChars="100"/>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2．图像无球面失真，平面图像，广角，大视野。可浸泡、气熏或高温高压消毒，30°斜视式内镜，广角，直径≤4 mm，有效工作长度≥18 cm，集成光纤传输。</w:t>
            </w:r>
          </w:p>
          <w:p>
            <w:pPr>
              <w:widowControl w:val="0"/>
              <w:numPr>
                <w:ilvl w:val="0"/>
                <w:numId w:val="0"/>
              </w:numPr>
              <w:spacing w:line="440" w:lineRule="exact"/>
              <w:ind w:leftChars="0"/>
              <w:jc w:val="both"/>
              <w:rPr>
                <w:rFonts w:hint="default" w:ascii="仿宋" w:hAnsi="仿宋" w:eastAsia="仿宋" w:cs="仿宋"/>
                <w:b/>
                <w:color w:val="FF0000"/>
                <w:sz w:val="24"/>
                <w:vertAlign w:val="baseline"/>
                <w:lang w:val="en-US" w:eastAsia="zh-CN"/>
              </w:rPr>
            </w:pPr>
          </w:p>
        </w:tc>
      </w:tr>
    </w:tbl>
    <w:p>
      <w:pPr>
        <w:numPr>
          <w:ilvl w:val="0"/>
          <w:numId w:val="0"/>
        </w:numPr>
        <w:spacing w:line="440" w:lineRule="exact"/>
        <w:rPr>
          <w:rFonts w:ascii="仿宋" w:hAnsi="仿宋" w:eastAsia="仿宋" w:cs="仿宋"/>
          <w:b/>
          <w:color w:val="FF0000"/>
          <w:sz w:val="24"/>
        </w:rPr>
      </w:pPr>
    </w:p>
    <w:p>
      <w:pPr>
        <w:numPr>
          <w:ilvl w:val="0"/>
          <w:numId w:val="0"/>
        </w:numPr>
        <w:spacing w:line="440" w:lineRule="exact"/>
        <w:rPr>
          <w:rFonts w:hint="eastAsia" w:ascii="仿宋" w:hAnsi="仿宋" w:eastAsia="仿宋" w:cs="仿宋"/>
          <w:b/>
          <w:color w:val="000000" w:themeColor="text1"/>
          <w:sz w:val="24"/>
        </w:rPr>
      </w:pPr>
    </w:p>
    <w:p>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251"/>
        <w:gridCol w:w="2373"/>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3251"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23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20"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摄像主机模块</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w:t>
            </w:r>
          </w:p>
        </w:tc>
        <w:tc>
          <w:tcPr>
            <w:tcW w:w="3251" w:type="dxa"/>
            <w:vAlign w:val="top"/>
          </w:tcPr>
          <w:p>
            <w:pPr>
              <w:widowControl/>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摄像头</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与主机同一品牌</w:t>
            </w: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医用内窥镜冷光源</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与主机同一品牌</w:t>
            </w: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w:t>
            </w:r>
          </w:p>
        </w:tc>
        <w:tc>
          <w:tcPr>
            <w:tcW w:w="3251" w:type="dxa"/>
            <w:vAlign w:val="top"/>
          </w:tcPr>
          <w:p>
            <w:pPr>
              <w:widowControl/>
              <w:jc w:val="lef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医用监视器</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与主机同一品牌</w:t>
            </w: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导光束</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6</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0°内镜</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7</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30°内镜</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8</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消毒盒</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w:t>
            </w:r>
          </w:p>
        </w:tc>
        <w:tc>
          <w:tcPr>
            <w:tcW w:w="920" w:type="dxa"/>
          </w:tcPr>
          <w:p>
            <w:p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9</w:t>
            </w:r>
          </w:p>
        </w:tc>
        <w:tc>
          <w:tcPr>
            <w:tcW w:w="3251"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台车</w:t>
            </w:r>
          </w:p>
        </w:tc>
        <w:tc>
          <w:tcPr>
            <w:tcW w:w="2373" w:type="dxa"/>
          </w:tcPr>
          <w:p>
            <w:pPr>
              <w:spacing w:line="440" w:lineRule="exact"/>
              <w:rPr>
                <w:rFonts w:hint="eastAsia" w:ascii="仿宋" w:hAnsi="仿宋" w:eastAsia="仿宋" w:cs="仿宋"/>
                <w:color w:val="000000" w:themeColor="text1"/>
                <w:kern w:val="2"/>
                <w:sz w:val="24"/>
                <w:szCs w:val="24"/>
                <w:lang w:val="en-US" w:eastAsia="zh-CN" w:bidi="ar-SA"/>
              </w:rPr>
            </w:pPr>
          </w:p>
        </w:tc>
        <w:tc>
          <w:tcPr>
            <w:tcW w:w="969" w:type="dxa"/>
            <w:vAlign w:val="top"/>
          </w:tcPr>
          <w:p>
            <w:pP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1</w:t>
            </w:r>
          </w:p>
        </w:tc>
        <w:tc>
          <w:tcPr>
            <w:tcW w:w="920" w:type="dxa"/>
          </w:tcPr>
          <w:p>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台</w:t>
            </w:r>
          </w:p>
        </w:tc>
      </w:tr>
    </w:tbl>
    <w:p>
      <w:pPr>
        <w:spacing w:line="440" w:lineRule="exact"/>
        <w:rPr>
          <w:rFonts w:hint="eastAsia" w:ascii="仿宋" w:hAnsi="仿宋" w:eastAsia="仿宋" w:cs="仿宋"/>
          <w:color w:val="000000" w:themeColor="text1"/>
          <w:kern w:val="2"/>
          <w:sz w:val="24"/>
          <w:szCs w:val="24"/>
          <w:lang w:val="en-US" w:eastAsia="zh-CN" w:bidi="ar-SA"/>
        </w:rPr>
      </w:pP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rPr>
        <w:t>日内完成设备的安装调试。</w:t>
      </w:r>
    </w:p>
    <w:p>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w:t>
      </w:r>
      <w:r>
        <w:rPr>
          <w:rFonts w:hint="eastAsia" w:ascii="仿宋" w:hAnsi="仿宋" w:eastAsia="仿宋" w:cs="仿宋"/>
          <w:b/>
          <w:bCs/>
          <w:color w:val="000000" w:themeColor="text1"/>
          <w:sz w:val="24"/>
          <w:lang w:val="en-US" w:eastAsia="zh-CN"/>
        </w:rPr>
        <w:t>≤12个月</w:t>
      </w:r>
      <w:r>
        <w:rPr>
          <w:rFonts w:hint="eastAsia" w:ascii="仿宋" w:hAnsi="仿宋" w:eastAsia="仿宋" w:cs="仿宋"/>
          <w:color w:val="000000" w:themeColor="text1"/>
          <w:sz w:val="24"/>
          <w:lang w:val="en-US" w:eastAsia="zh-CN"/>
        </w:rPr>
        <w:t>；国产产品生产日期与交货日期差值</w:t>
      </w:r>
      <w:r>
        <w:rPr>
          <w:rFonts w:hint="eastAsia" w:ascii="仿宋" w:hAnsi="仿宋" w:eastAsia="仿宋" w:cs="仿宋"/>
          <w:b/>
          <w:bCs/>
          <w:color w:val="000000" w:themeColor="text1"/>
          <w:sz w:val="24"/>
          <w:lang w:val="en-US" w:eastAsia="zh-CN"/>
        </w:rPr>
        <w:t>≤3个月</w:t>
      </w:r>
      <w:r>
        <w:rPr>
          <w:rFonts w:hint="eastAsia" w:ascii="仿宋" w:hAnsi="仿宋" w:eastAsia="仿宋" w:cs="仿宋"/>
          <w:color w:val="000000" w:themeColor="text1"/>
          <w:sz w:val="24"/>
          <w:lang w:val="en-US" w:eastAsia="zh-CN"/>
        </w:rPr>
        <w:t>。</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2</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bookmarkStart w:id="3" w:name="_GoBack"/>
      <w:bookmarkEnd w:id="3"/>
      <w:r>
        <w:rPr>
          <w:rFonts w:hint="eastAsia" w:ascii="仿宋" w:hAnsi="仿宋" w:eastAsia="仿宋" w:cs="仿宋"/>
          <w:color w:val="000000"/>
          <w:sz w:val="24"/>
        </w:rPr>
        <w:t>；</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color w:val="000000"/>
          <w:sz w:val="24"/>
        </w:rPr>
      </w:pPr>
      <w:r>
        <w:rPr>
          <w:rFonts w:hint="eastAsia" w:ascii="仿宋" w:hAnsi="仿宋" w:eastAsia="仿宋" w:cs="仿宋"/>
          <w:color w:val="000000"/>
          <w:sz w:val="24"/>
        </w:rPr>
        <w:t>★3.2</w:t>
      </w:r>
    </w:p>
    <w:p>
      <w:pPr>
        <w:spacing w:line="440" w:lineRule="exact"/>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BDDC4"/>
    <w:multiLevelType w:val="singleLevel"/>
    <w:tmpl w:val="831BDDC4"/>
    <w:lvl w:ilvl="0" w:tentative="0">
      <w:start w:val="1"/>
      <w:numFmt w:val="decimal"/>
      <w:lvlText w:val="%1."/>
      <w:lvlJc w:val="left"/>
      <w:pPr>
        <w:tabs>
          <w:tab w:val="left" w:pos="420"/>
        </w:tabs>
        <w:ind w:left="845" w:hanging="425"/>
      </w:pPr>
      <w:rPr>
        <w:rFonts w:hint="default"/>
      </w:rPr>
    </w:lvl>
  </w:abstractNum>
  <w:abstractNum w:abstractNumId="1">
    <w:nsid w:val="B57F88D3"/>
    <w:multiLevelType w:val="singleLevel"/>
    <w:tmpl w:val="B57F88D3"/>
    <w:lvl w:ilvl="0" w:tentative="0">
      <w:start w:val="1"/>
      <w:numFmt w:val="decimal"/>
      <w:lvlText w:val="%1."/>
      <w:lvlJc w:val="left"/>
      <w:pPr>
        <w:ind w:left="635" w:hanging="425"/>
      </w:pPr>
      <w:rPr>
        <w:rFonts w:hint="default"/>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8FE7C1D"/>
    <w:multiLevelType w:val="singleLevel"/>
    <w:tmpl w:val="18FE7C1D"/>
    <w:lvl w:ilvl="0" w:tentative="0">
      <w:start w:val="1"/>
      <w:numFmt w:val="decimal"/>
      <w:lvlText w:val="%1."/>
      <w:lvlJc w:val="left"/>
      <w:pPr>
        <w:tabs>
          <w:tab w:val="left" w:pos="312"/>
        </w:tabs>
      </w:p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761134"/>
    <w:rsid w:val="54B34A9B"/>
    <w:rsid w:val="562C6AB3"/>
    <w:rsid w:val="56AB1A08"/>
    <w:rsid w:val="59480742"/>
    <w:rsid w:val="5CEB018E"/>
    <w:rsid w:val="5D4446FE"/>
    <w:rsid w:val="5EC71180"/>
    <w:rsid w:val="5F580C6B"/>
    <w:rsid w:val="5F8F08C0"/>
    <w:rsid w:val="5FA44E0F"/>
    <w:rsid w:val="5FB82D40"/>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1</TotalTime>
  <ScaleCrop>false</ScaleCrop>
  <LinksUpToDate>false</LinksUpToDate>
  <CharactersWithSpaces>2596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2024-11-18T01:16:16Z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