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5683E">
      <w:pPr>
        <w:keepNext w:val="0"/>
        <w:keepLines w:val="0"/>
        <w:pageBreakBefore w:val="0"/>
        <w:tabs>
          <w:tab w:val="left" w:pos="616"/>
        </w:tabs>
        <w:kinsoku/>
        <w:wordWrap/>
        <w:overflowPunct/>
        <w:topLinePunct w:val="0"/>
        <w:bidi w:val="0"/>
        <w:snapToGrid/>
        <w:spacing w:beforeLines="20" w:line="360" w:lineRule="auto"/>
        <w:jc w:val="center"/>
        <w:rPr>
          <w:b/>
          <w:sz w:val="30"/>
          <w:szCs w:val="30"/>
        </w:rPr>
      </w:pPr>
      <w:r>
        <w:rPr>
          <w:rFonts w:hint="eastAsia"/>
          <w:b/>
          <w:sz w:val="30"/>
          <w:szCs w:val="30"/>
          <w:lang w:val="en-US" w:eastAsia="zh-CN"/>
        </w:rPr>
        <w:t>用户</w:t>
      </w:r>
      <w:r>
        <w:rPr>
          <w:rFonts w:hint="eastAsia"/>
          <w:b/>
          <w:sz w:val="30"/>
          <w:szCs w:val="30"/>
        </w:rPr>
        <w:t>需求书</w:t>
      </w:r>
    </w:p>
    <w:p w14:paraId="2FFCC017">
      <w:pPr>
        <w:keepNext w:val="0"/>
        <w:keepLines w:val="0"/>
        <w:pageBreakBefore w:val="0"/>
        <w:tabs>
          <w:tab w:val="left" w:pos="616"/>
        </w:tabs>
        <w:kinsoku/>
        <w:wordWrap/>
        <w:overflowPunct/>
        <w:topLinePunct w:val="0"/>
        <w:bidi w:val="0"/>
        <w:snapToGrid/>
        <w:spacing w:beforeLines="20" w:line="360" w:lineRule="auto"/>
        <w:rPr>
          <w:rFonts w:ascii="宋体" w:hAnsi="宋体"/>
          <w:sz w:val="24"/>
        </w:rPr>
      </w:pPr>
      <w:r>
        <w:rPr>
          <w:rFonts w:hint="eastAsia" w:ascii="宋体" w:hAnsi="宋体"/>
          <w:sz w:val="24"/>
          <w:lang w:val="en-US" w:eastAsia="zh-CN"/>
        </w:rPr>
        <w:t>一、</w:t>
      </w:r>
      <w:r>
        <w:rPr>
          <w:rFonts w:ascii="宋体" w:hAnsi="宋体"/>
          <w:sz w:val="24"/>
        </w:rPr>
        <w:t>总</w:t>
      </w:r>
      <w:r>
        <w:rPr>
          <w:rFonts w:hint="eastAsia" w:ascii="宋体" w:hAnsi="宋体"/>
          <w:sz w:val="24"/>
        </w:rPr>
        <w:t xml:space="preserve"> </w:t>
      </w:r>
      <w:r>
        <w:rPr>
          <w:rFonts w:ascii="宋体" w:hAnsi="宋体"/>
          <w:sz w:val="24"/>
        </w:rPr>
        <w:t>则</w:t>
      </w:r>
    </w:p>
    <w:p w14:paraId="49B4C706">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1、《中山市小榄人民医院电梯维护保养项目用户需求书》中凡有“★”标识的内容条款被视为实质性响应项目、指标，报价人必须对此作出回答并完全满足这些要求，不可以出现任何负偏离，如果出现负偏离将被视为无效投标。</w:t>
      </w:r>
    </w:p>
    <w:p w14:paraId="2B8BDD86">
      <w:pPr>
        <w:keepNext w:val="0"/>
        <w:keepLines w:val="0"/>
        <w:pageBreakBefore w:val="0"/>
        <w:kinsoku/>
        <w:wordWrap/>
        <w:overflowPunct/>
        <w:topLinePunct w:val="0"/>
        <w:bidi w:val="0"/>
        <w:snapToGrid/>
        <w:spacing w:line="360" w:lineRule="auto"/>
        <w:ind w:firstLine="480" w:firstLineChars="200"/>
        <w:jc w:val="both"/>
        <w:rPr>
          <w:rFonts w:ascii="宋体" w:hAnsi="宋体"/>
          <w:sz w:val="24"/>
        </w:rPr>
      </w:pPr>
      <w:r>
        <w:rPr>
          <w:rFonts w:hint="eastAsia" w:ascii="宋体" w:hAnsi="宋体"/>
          <w:sz w:val="24"/>
        </w:rPr>
        <w:t>2、</w:t>
      </w:r>
      <w:r>
        <w:rPr>
          <w:rFonts w:hint="eastAsia" w:ascii="宋体" w:hAnsi="宋体" w:eastAsia="宋体"/>
          <w:sz w:val="24"/>
          <w:lang w:eastAsia="zh-CN"/>
        </w:rPr>
        <w:t>供应商</w:t>
      </w:r>
      <w:r>
        <w:rPr>
          <w:rFonts w:hint="eastAsia" w:ascii="宋体" w:hAnsi="宋体" w:eastAsia="宋体"/>
          <w:sz w:val="24"/>
        </w:rPr>
        <w:t>报价应包括标的</w:t>
      </w:r>
      <w:r>
        <w:rPr>
          <w:rFonts w:hint="eastAsia" w:ascii="宋体" w:hAnsi="宋体" w:eastAsia="宋体"/>
          <w:sz w:val="24"/>
          <w:lang w:val="en-US" w:eastAsia="zh-CN"/>
        </w:rPr>
        <w:t>服务内容、</w:t>
      </w:r>
      <w:r>
        <w:rPr>
          <w:rFonts w:hint="eastAsia" w:ascii="宋体" w:hAnsi="宋体" w:eastAsia="宋体"/>
          <w:sz w:val="24"/>
        </w:rPr>
        <w:t>配套设施、税费、运费、保险费、仓储费、安装调试、培训、质保等的全部费用，在项目实施过程中出现报价内容的任何遗漏，均由</w:t>
      </w:r>
      <w:r>
        <w:rPr>
          <w:rFonts w:hint="eastAsia" w:ascii="宋体" w:hAnsi="宋体" w:eastAsia="宋体"/>
          <w:sz w:val="24"/>
          <w:lang w:eastAsia="zh-CN"/>
        </w:rPr>
        <w:t>成交供应商</w:t>
      </w:r>
      <w:r>
        <w:rPr>
          <w:rFonts w:hint="eastAsia" w:ascii="宋体" w:hAnsi="宋体" w:eastAsia="宋体"/>
          <w:sz w:val="24"/>
        </w:rPr>
        <w:t>负责相关费用，采购人将不再支付任何费用。</w:t>
      </w:r>
    </w:p>
    <w:p w14:paraId="7249FEF0">
      <w:pPr>
        <w:keepNext w:val="0"/>
        <w:keepLines w:val="0"/>
        <w:pageBreakBefore w:val="0"/>
        <w:tabs>
          <w:tab w:val="left" w:pos="616"/>
        </w:tabs>
        <w:kinsoku/>
        <w:wordWrap/>
        <w:overflowPunct/>
        <w:topLinePunct w:val="0"/>
        <w:bidi w:val="0"/>
        <w:snapToGrid/>
        <w:spacing w:beforeLines="20" w:line="360" w:lineRule="auto"/>
        <w:ind w:firstLine="480" w:firstLineChars="200"/>
        <w:rPr>
          <w:rFonts w:hint="eastAsia" w:ascii="宋体" w:hAnsi="宋体" w:eastAsia="宋体"/>
          <w:sz w:val="24"/>
        </w:rPr>
      </w:pPr>
      <w:r>
        <w:rPr>
          <w:rFonts w:hint="eastAsia" w:ascii="宋体" w:hAnsi="宋体"/>
          <w:sz w:val="24"/>
          <w:lang w:val="en-US" w:eastAsia="zh-CN"/>
        </w:rPr>
        <w:t>3</w:t>
      </w:r>
      <w:r>
        <w:rPr>
          <w:rFonts w:hint="eastAsia" w:ascii="宋体" w:hAnsi="宋体"/>
          <w:sz w:val="24"/>
        </w:rPr>
        <w:t>、本项目</w:t>
      </w:r>
      <w:r>
        <w:rPr>
          <w:rFonts w:hint="eastAsia" w:ascii="宋体" w:hAnsi="宋体" w:eastAsia="宋体"/>
          <w:sz w:val="24"/>
        </w:rPr>
        <w:t>不接受联合体、</w:t>
      </w:r>
      <w:r>
        <w:rPr>
          <w:rFonts w:hint="eastAsia" w:ascii="宋体" w:hAnsi="宋体" w:eastAsia="宋体"/>
          <w:sz w:val="24"/>
          <w:lang w:eastAsia="zh-CN"/>
        </w:rPr>
        <w:t>成交供应商</w:t>
      </w:r>
      <w:r>
        <w:rPr>
          <w:rFonts w:hint="eastAsia" w:ascii="宋体" w:hAnsi="宋体" w:eastAsia="宋体"/>
          <w:sz w:val="24"/>
        </w:rPr>
        <w:t>不得以任何方式</w:t>
      </w:r>
      <w:r>
        <w:rPr>
          <w:rFonts w:hint="eastAsia" w:ascii="宋体" w:hAnsi="宋体"/>
          <w:sz w:val="24"/>
          <w:lang w:val="en-US" w:eastAsia="zh-CN"/>
        </w:rPr>
        <w:t>分包、</w:t>
      </w:r>
      <w:r>
        <w:rPr>
          <w:rFonts w:hint="eastAsia" w:ascii="宋体" w:hAnsi="宋体" w:eastAsia="宋体"/>
          <w:sz w:val="24"/>
        </w:rPr>
        <w:t>转包本项目。</w:t>
      </w:r>
    </w:p>
    <w:p w14:paraId="2A3F57F4">
      <w:pPr>
        <w:keepNext w:val="0"/>
        <w:keepLines w:val="0"/>
        <w:pageBreakBefore w:val="0"/>
        <w:tabs>
          <w:tab w:val="left" w:pos="616"/>
        </w:tabs>
        <w:kinsoku/>
        <w:wordWrap/>
        <w:overflowPunct/>
        <w:topLinePunct w:val="0"/>
        <w:bidi w:val="0"/>
        <w:snapToGrid/>
        <w:spacing w:beforeLines="20" w:line="360" w:lineRule="auto"/>
        <w:rPr>
          <w:rFonts w:hint="eastAsia" w:ascii="宋体" w:hAnsi="宋体"/>
          <w:sz w:val="24"/>
        </w:rPr>
      </w:pPr>
      <w:r>
        <w:rPr>
          <w:rFonts w:hint="eastAsia" w:ascii="宋体" w:hAnsi="宋体"/>
          <w:sz w:val="24"/>
          <w:lang w:val="en-US" w:eastAsia="zh-CN"/>
        </w:rPr>
        <w:t>二</w:t>
      </w:r>
      <w:r>
        <w:rPr>
          <w:rFonts w:hint="eastAsia" w:ascii="宋体" w:hAnsi="宋体"/>
          <w:sz w:val="24"/>
        </w:rPr>
        <w:t>、维保范围的电梯规格：</w:t>
      </w:r>
    </w:p>
    <w:p w14:paraId="1D9F0DFD">
      <w:pPr>
        <w:pStyle w:val="6"/>
        <w:rPr>
          <w:rFonts w:hint="default" w:eastAsia="宋体"/>
          <w:sz w:val="24"/>
          <w:szCs w:val="24"/>
          <w:lang w:val="en-US" w:eastAsia="zh-CN"/>
        </w:rPr>
      </w:pPr>
      <w:r>
        <w:rPr>
          <w:rFonts w:hint="eastAsia"/>
          <w:sz w:val="24"/>
          <w:szCs w:val="24"/>
          <w:lang w:val="en-US" w:eastAsia="zh-CN"/>
        </w:rPr>
        <w:t>（1）垂直电梯（41台）：</w:t>
      </w:r>
    </w:p>
    <w:p w14:paraId="3918F9C5">
      <w:pPr>
        <w:keepNext w:val="0"/>
        <w:keepLines w:val="0"/>
        <w:pageBreakBefore w:val="0"/>
        <w:tabs>
          <w:tab w:val="left" w:pos="616"/>
        </w:tabs>
        <w:kinsoku/>
        <w:wordWrap/>
        <w:overflowPunct/>
        <w:topLinePunct w:val="0"/>
        <w:bidi w:val="0"/>
        <w:snapToGrid/>
        <w:spacing w:beforeLines="20" w:line="360" w:lineRule="auto"/>
        <w:rPr>
          <w:rFonts w:ascii="宋体" w:hAnsi="宋体"/>
          <w:sz w:val="24"/>
        </w:rPr>
      </w:pPr>
      <w:r>
        <w:rPr>
          <w:rFonts w:ascii="宋体" w:hAnsi="宋体"/>
          <w:sz w:val="24"/>
        </w:rPr>
        <w:t>1</w:t>
      </w:r>
      <w:r>
        <w:rPr>
          <w:rFonts w:hint="eastAsia" w:ascii="宋体" w:hAnsi="宋体"/>
          <w:sz w:val="24"/>
        </w:rPr>
        <w:t>、</w:t>
      </w:r>
      <w:r>
        <w:rPr>
          <w:rFonts w:ascii="宋体" w:hAnsi="宋体"/>
          <w:sz w:val="24"/>
        </w:rPr>
        <w:t>综合楼（</w:t>
      </w:r>
      <w:r>
        <w:rPr>
          <w:rFonts w:hint="eastAsia" w:ascii="宋体" w:hAnsi="宋体"/>
          <w:sz w:val="24"/>
          <w:lang w:val="en-US" w:eastAsia="zh-CN"/>
        </w:rPr>
        <w:t>19</w:t>
      </w:r>
      <w:r>
        <w:rPr>
          <w:rFonts w:hint="eastAsia" w:ascii="宋体" w:hAnsi="宋体"/>
          <w:sz w:val="24"/>
        </w:rPr>
        <w:t>台</w:t>
      </w:r>
      <w:r>
        <w:rPr>
          <w:rFonts w:ascii="宋体" w:hAnsi="宋体"/>
          <w:sz w:val="24"/>
        </w:rPr>
        <w:t>）</w:t>
      </w:r>
    </w:p>
    <w:tbl>
      <w:tblPr>
        <w:tblStyle w:val="21"/>
        <w:tblW w:w="10402" w:type="dxa"/>
        <w:jc w:val="center"/>
        <w:tblLayout w:type="fixed"/>
        <w:tblCellMar>
          <w:top w:w="0" w:type="dxa"/>
          <w:left w:w="108" w:type="dxa"/>
          <w:bottom w:w="0" w:type="dxa"/>
          <w:right w:w="108" w:type="dxa"/>
        </w:tblCellMar>
      </w:tblPr>
      <w:tblGrid>
        <w:gridCol w:w="831"/>
        <w:gridCol w:w="1600"/>
        <w:gridCol w:w="2244"/>
        <w:gridCol w:w="1483"/>
        <w:gridCol w:w="1443"/>
        <w:gridCol w:w="1616"/>
        <w:gridCol w:w="1185"/>
      </w:tblGrid>
      <w:tr w14:paraId="28D2AB97">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2B5C2F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Cs w:val="28"/>
                <w:lang w:val="en-US" w:eastAsia="zh-CN"/>
              </w:rPr>
            </w:pPr>
            <w:r>
              <w:rPr>
                <w:rFonts w:hint="eastAsia" w:ascii="宋体" w:hAnsi="宋体" w:cs="宋体"/>
                <w:kern w:val="0"/>
                <w:szCs w:val="28"/>
                <w:lang w:val="en-US" w:eastAsia="zh-CN"/>
              </w:rPr>
              <w:t>梯号</w:t>
            </w:r>
          </w:p>
        </w:tc>
        <w:tc>
          <w:tcPr>
            <w:tcW w:w="1600" w:type="dxa"/>
            <w:tcBorders>
              <w:top w:val="single" w:color="auto" w:sz="4" w:space="0"/>
              <w:left w:val="single" w:color="auto" w:sz="4" w:space="0"/>
              <w:bottom w:val="single" w:color="auto" w:sz="4" w:space="0"/>
              <w:right w:val="single" w:color="auto" w:sz="4" w:space="0"/>
            </w:tcBorders>
            <w:noWrap/>
            <w:vAlign w:val="center"/>
          </w:tcPr>
          <w:p w14:paraId="4ABA4A5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Cs w:val="28"/>
              </w:rPr>
            </w:pPr>
            <w:r>
              <w:rPr>
                <w:rFonts w:hint="eastAsia" w:ascii="宋体" w:hAnsi="宋体" w:cs="宋体"/>
                <w:kern w:val="0"/>
                <w:szCs w:val="28"/>
              </w:rPr>
              <w:t>单位内部编号</w:t>
            </w:r>
          </w:p>
        </w:tc>
        <w:tc>
          <w:tcPr>
            <w:tcW w:w="2244" w:type="dxa"/>
            <w:tcBorders>
              <w:top w:val="single" w:color="auto" w:sz="4" w:space="0"/>
              <w:left w:val="nil"/>
              <w:bottom w:val="single" w:color="auto" w:sz="4" w:space="0"/>
              <w:right w:val="single" w:color="auto" w:sz="4" w:space="0"/>
            </w:tcBorders>
            <w:noWrap/>
            <w:vAlign w:val="center"/>
          </w:tcPr>
          <w:p w14:paraId="3F7777D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Cs w:val="28"/>
              </w:rPr>
            </w:pPr>
            <w:r>
              <w:rPr>
                <w:rFonts w:hint="eastAsia" w:ascii="宋体" w:hAnsi="宋体" w:cs="宋体"/>
                <w:kern w:val="0"/>
                <w:szCs w:val="28"/>
              </w:rPr>
              <w:t>型号</w:t>
            </w:r>
          </w:p>
        </w:tc>
        <w:tc>
          <w:tcPr>
            <w:tcW w:w="1483" w:type="dxa"/>
            <w:tcBorders>
              <w:top w:val="single" w:color="auto" w:sz="4" w:space="0"/>
              <w:left w:val="nil"/>
              <w:bottom w:val="single" w:color="auto" w:sz="4" w:space="0"/>
              <w:right w:val="single" w:color="auto" w:sz="4" w:space="0"/>
            </w:tcBorders>
            <w:noWrap/>
            <w:vAlign w:val="center"/>
          </w:tcPr>
          <w:p w14:paraId="5EEE3BB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kern w:val="0"/>
                <w:szCs w:val="28"/>
              </w:rPr>
            </w:pPr>
            <w:r>
              <w:rPr>
                <w:rFonts w:hint="eastAsia" w:ascii="宋体" w:hAnsi="宋体"/>
                <w:szCs w:val="21"/>
              </w:rPr>
              <w:t>额定载重量（KG）</w:t>
            </w:r>
          </w:p>
        </w:tc>
        <w:tc>
          <w:tcPr>
            <w:tcW w:w="1443" w:type="dxa"/>
            <w:tcBorders>
              <w:top w:val="single" w:color="auto" w:sz="4" w:space="0"/>
              <w:left w:val="nil"/>
              <w:bottom w:val="single" w:color="auto" w:sz="4" w:space="0"/>
              <w:right w:val="single" w:color="auto" w:sz="4" w:space="0"/>
            </w:tcBorders>
            <w:shd w:val="clear" w:color="auto" w:fill="auto"/>
            <w:noWrap/>
            <w:vAlign w:val="center"/>
          </w:tcPr>
          <w:p w14:paraId="5CFB417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1"/>
                <w:szCs w:val="28"/>
                <w:lang w:val="en-US" w:eastAsia="zh-CN" w:bidi="ar-SA"/>
              </w:rPr>
            </w:pPr>
            <w:r>
              <w:rPr>
                <w:rFonts w:hint="eastAsia" w:ascii="宋体" w:hAnsi="宋体" w:cs="宋体"/>
                <w:kern w:val="0"/>
                <w:szCs w:val="28"/>
                <w:lang w:val="en-US" w:eastAsia="zh-CN"/>
              </w:rPr>
              <w:t>额定</w:t>
            </w:r>
            <w:r>
              <w:rPr>
                <w:rFonts w:hint="eastAsia" w:ascii="宋体" w:hAnsi="宋体" w:cs="宋体"/>
                <w:kern w:val="0"/>
                <w:szCs w:val="28"/>
              </w:rPr>
              <w:t>速度</w:t>
            </w:r>
            <w:r>
              <w:rPr>
                <w:rFonts w:hint="eastAsia" w:ascii="宋体" w:hAnsi="宋体" w:cs="宋体"/>
                <w:kern w:val="0"/>
                <w:szCs w:val="28"/>
                <w:lang w:eastAsia="zh-CN"/>
              </w:rPr>
              <w:t>（</w:t>
            </w:r>
            <w:r>
              <w:rPr>
                <w:rFonts w:hint="eastAsia" w:ascii="宋体" w:hAnsi="宋体" w:cs="宋体"/>
                <w:kern w:val="0"/>
                <w:sz w:val="24"/>
              </w:rPr>
              <w:t>m/s</w:t>
            </w:r>
            <w:r>
              <w:rPr>
                <w:rFonts w:hint="eastAsia" w:ascii="宋体" w:hAnsi="宋体" w:cs="宋体"/>
                <w:kern w:val="0"/>
                <w:szCs w:val="28"/>
                <w:lang w:eastAsia="zh-CN"/>
              </w:rPr>
              <w:t>）</w:t>
            </w:r>
          </w:p>
        </w:tc>
        <w:tc>
          <w:tcPr>
            <w:tcW w:w="1616" w:type="dxa"/>
            <w:tcBorders>
              <w:top w:val="single" w:color="auto" w:sz="4" w:space="0"/>
              <w:left w:val="nil"/>
              <w:bottom w:val="single" w:color="auto" w:sz="4" w:space="0"/>
              <w:right w:val="single" w:color="auto" w:sz="4" w:space="0"/>
            </w:tcBorders>
            <w:noWrap/>
            <w:vAlign w:val="center"/>
          </w:tcPr>
          <w:p w14:paraId="1711B2C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Cs w:val="28"/>
              </w:rPr>
            </w:pPr>
            <w:r>
              <w:rPr>
                <w:rFonts w:hint="eastAsia" w:ascii="宋体" w:hAnsi="宋体"/>
                <w:szCs w:val="21"/>
              </w:rPr>
              <w:t>层站数</w:t>
            </w:r>
          </w:p>
        </w:tc>
        <w:tc>
          <w:tcPr>
            <w:tcW w:w="1185" w:type="dxa"/>
            <w:tcBorders>
              <w:top w:val="single" w:color="auto" w:sz="4" w:space="0"/>
              <w:left w:val="nil"/>
              <w:bottom w:val="single" w:color="auto" w:sz="4" w:space="0"/>
              <w:right w:val="single" w:color="auto" w:sz="4" w:space="0"/>
            </w:tcBorders>
            <w:noWrap/>
            <w:vAlign w:val="center"/>
          </w:tcPr>
          <w:p w14:paraId="5A38519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Cs w:val="28"/>
                <w:lang w:val="en-US" w:eastAsia="zh-CN"/>
              </w:rPr>
            </w:pPr>
            <w:r>
              <w:rPr>
                <w:rFonts w:hint="eastAsia" w:ascii="宋体" w:hAnsi="宋体" w:cs="宋体"/>
                <w:kern w:val="0"/>
                <w:szCs w:val="28"/>
                <w:lang w:val="en-US" w:eastAsia="zh-CN"/>
              </w:rPr>
              <w:t>控制方式</w:t>
            </w:r>
          </w:p>
        </w:tc>
      </w:tr>
      <w:tr w14:paraId="6B2F7698">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3CEA6C7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w:t>
            </w:r>
          </w:p>
        </w:tc>
        <w:tc>
          <w:tcPr>
            <w:tcW w:w="1600" w:type="dxa"/>
            <w:tcBorders>
              <w:top w:val="single" w:color="auto" w:sz="4" w:space="0"/>
              <w:left w:val="single" w:color="auto" w:sz="4" w:space="0"/>
              <w:bottom w:val="single" w:color="auto" w:sz="4" w:space="0"/>
              <w:right w:val="single" w:color="auto" w:sz="4" w:space="0"/>
            </w:tcBorders>
            <w:noWrap/>
            <w:vAlign w:val="center"/>
          </w:tcPr>
          <w:p w14:paraId="6952CEA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K-02487</w:t>
            </w:r>
          </w:p>
        </w:tc>
        <w:tc>
          <w:tcPr>
            <w:tcW w:w="2244" w:type="dxa"/>
            <w:tcBorders>
              <w:top w:val="nil"/>
              <w:left w:val="nil"/>
              <w:bottom w:val="single" w:color="auto" w:sz="4" w:space="0"/>
              <w:right w:val="single" w:color="auto" w:sz="4" w:space="0"/>
            </w:tcBorders>
            <w:noWrap/>
            <w:vAlign w:val="center"/>
          </w:tcPr>
          <w:p w14:paraId="52766C8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TKJ1600/1.0-BL</w:t>
            </w:r>
          </w:p>
        </w:tc>
        <w:tc>
          <w:tcPr>
            <w:tcW w:w="1483" w:type="dxa"/>
            <w:tcBorders>
              <w:top w:val="nil"/>
              <w:left w:val="nil"/>
              <w:bottom w:val="single" w:color="auto" w:sz="4" w:space="0"/>
              <w:right w:val="single" w:color="auto" w:sz="4" w:space="0"/>
            </w:tcBorders>
            <w:noWrap/>
            <w:vAlign w:val="center"/>
          </w:tcPr>
          <w:p w14:paraId="31C11DB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0D3B245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1.0</w:t>
            </w:r>
          </w:p>
        </w:tc>
        <w:tc>
          <w:tcPr>
            <w:tcW w:w="1616" w:type="dxa"/>
            <w:tcBorders>
              <w:top w:val="nil"/>
              <w:left w:val="nil"/>
              <w:bottom w:val="single" w:color="auto" w:sz="4" w:space="0"/>
              <w:right w:val="single" w:color="auto" w:sz="4" w:space="0"/>
            </w:tcBorders>
            <w:noWrap/>
            <w:vAlign w:val="center"/>
          </w:tcPr>
          <w:p w14:paraId="2757FAE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5层5站</w:t>
            </w:r>
          </w:p>
        </w:tc>
        <w:tc>
          <w:tcPr>
            <w:tcW w:w="1185" w:type="dxa"/>
            <w:tcBorders>
              <w:top w:val="nil"/>
              <w:left w:val="nil"/>
              <w:bottom w:val="single" w:color="auto" w:sz="4" w:space="0"/>
              <w:right w:val="single" w:color="auto" w:sz="4" w:space="0"/>
            </w:tcBorders>
            <w:noWrap/>
            <w:vAlign w:val="center"/>
          </w:tcPr>
          <w:p w14:paraId="1CDC35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lang w:val="en-US" w:eastAsia="zh-CN"/>
              </w:rPr>
              <w:t>集选</w:t>
            </w:r>
          </w:p>
        </w:tc>
      </w:tr>
      <w:tr w14:paraId="1366889E">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601918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2#</w:t>
            </w:r>
          </w:p>
        </w:tc>
        <w:tc>
          <w:tcPr>
            <w:tcW w:w="1600" w:type="dxa"/>
            <w:tcBorders>
              <w:top w:val="single" w:color="auto" w:sz="4" w:space="0"/>
              <w:left w:val="single" w:color="auto" w:sz="4" w:space="0"/>
              <w:bottom w:val="single" w:color="auto" w:sz="4" w:space="0"/>
              <w:right w:val="single" w:color="auto" w:sz="4" w:space="0"/>
            </w:tcBorders>
            <w:noWrap/>
            <w:vAlign w:val="center"/>
          </w:tcPr>
          <w:p w14:paraId="798643C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K-02488</w:t>
            </w:r>
          </w:p>
        </w:tc>
        <w:tc>
          <w:tcPr>
            <w:tcW w:w="2244" w:type="dxa"/>
            <w:tcBorders>
              <w:top w:val="nil"/>
              <w:left w:val="nil"/>
              <w:bottom w:val="single" w:color="auto" w:sz="4" w:space="0"/>
              <w:right w:val="single" w:color="auto" w:sz="4" w:space="0"/>
            </w:tcBorders>
            <w:noWrap/>
            <w:vAlign w:val="center"/>
          </w:tcPr>
          <w:p w14:paraId="2EA3EEF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TKJ1600/1.0-BL</w:t>
            </w:r>
          </w:p>
        </w:tc>
        <w:tc>
          <w:tcPr>
            <w:tcW w:w="1483" w:type="dxa"/>
            <w:tcBorders>
              <w:top w:val="nil"/>
              <w:left w:val="nil"/>
              <w:bottom w:val="single" w:color="auto" w:sz="4" w:space="0"/>
              <w:right w:val="single" w:color="auto" w:sz="4" w:space="0"/>
            </w:tcBorders>
            <w:noWrap/>
            <w:vAlign w:val="center"/>
          </w:tcPr>
          <w:p w14:paraId="3CF2C6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5B83185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1.0</w:t>
            </w:r>
          </w:p>
        </w:tc>
        <w:tc>
          <w:tcPr>
            <w:tcW w:w="1616" w:type="dxa"/>
            <w:tcBorders>
              <w:top w:val="nil"/>
              <w:left w:val="nil"/>
              <w:bottom w:val="single" w:color="auto" w:sz="4" w:space="0"/>
              <w:right w:val="single" w:color="auto" w:sz="4" w:space="0"/>
            </w:tcBorders>
            <w:noWrap/>
            <w:vAlign w:val="center"/>
          </w:tcPr>
          <w:p w14:paraId="2FA0AA3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5层5站</w:t>
            </w:r>
          </w:p>
        </w:tc>
        <w:tc>
          <w:tcPr>
            <w:tcW w:w="1185" w:type="dxa"/>
            <w:tcBorders>
              <w:top w:val="nil"/>
              <w:left w:val="nil"/>
              <w:bottom w:val="single" w:color="auto" w:sz="4" w:space="0"/>
              <w:right w:val="single" w:color="auto" w:sz="4" w:space="0"/>
            </w:tcBorders>
            <w:noWrap/>
            <w:vAlign w:val="center"/>
          </w:tcPr>
          <w:p w14:paraId="2F6337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lang w:val="en-US" w:eastAsia="zh-CN"/>
              </w:rPr>
              <w:t>集选</w:t>
            </w:r>
          </w:p>
        </w:tc>
      </w:tr>
      <w:tr w14:paraId="71F6AF3F">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36B13E2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3#</w:t>
            </w:r>
          </w:p>
        </w:tc>
        <w:tc>
          <w:tcPr>
            <w:tcW w:w="1600" w:type="dxa"/>
            <w:tcBorders>
              <w:top w:val="single" w:color="auto" w:sz="4" w:space="0"/>
              <w:left w:val="single" w:color="auto" w:sz="4" w:space="0"/>
              <w:bottom w:val="single" w:color="auto" w:sz="4" w:space="0"/>
              <w:right w:val="single" w:color="auto" w:sz="4" w:space="0"/>
            </w:tcBorders>
            <w:noWrap/>
            <w:vAlign w:val="center"/>
          </w:tcPr>
          <w:p w14:paraId="7C5BB1C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K-02172</w:t>
            </w:r>
          </w:p>
        </w:tc>
        <w:tc>
          <w:tcPr>
            <w:tcW w:w="2244" w:type="dxa"/>
            <w:tcBorders>
              <w:top w:val="nil"/>
              <w:left w:val="nil"/>
              <w:bottom w:val="single" w:color="auto" w:sz="4" w:space="0"/>
              <w:right w:val="single" w:color="auto" w:sz="4" w:space="0"/>
            </w:tcBorders>
            <w:noWrap/>
            <w:vAlign w:val="center"/>
          </w:tcPr>
          <w:p w14:paraId="59B938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TBJ1600/1.0-JX</w:t>
            </w:r>
          </w:p>
        </w:tc>
        <w:tc>
          <w:tcPr>
            <w:tcW w:w="1483" w:type="dxa"/>
            <w:tcBorders>
              <w:top w:val="nil"/>
              <w:left w:val="nil"/>
              <w:bottom w:val="single" w:color="auto" w:sz="4" w:space="0"/>
              <w:right w:val="single" w:color="auto" w:sz="4" w:space="0"/>
            </w:tcBorders>
            <w:noWrap/>
            <w:vAlign w:val="center"/>
          </w:tcPr>
          <w:p w14:paraId="31F45B5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574D728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1.0</w:t>
            </w:r>
          </w:p>
        </w:tc>
        <w:tc>
          <w:tcPr>
            <w:tcW w:w="1616" w:type="dxa"/>
            <w:tcBorders>
              <w:top w:val="nil"/>
              <w:left w:val="nil"/>
              <w:bottom w:val="single" w:color="auto" w:sz="4" w:space="0"/>
              <w:right w:val="single" w:color="auto" w:sz="4" w:space="0"/>
            </w:tcBorders>
            <w:noWrap/>
            <w:vAlign w:val="center"/>
          </w:tcPr>
          <w:p w14:paraId="75A5B4B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5层5站</w:t>
            </w:r>
          </w:p>
        </w:tc>
        <w:tc>
          <w:tcPr>
            <w:tcW w:w="1185" w:type="dxa"/>
            <w:tcBorders>
              <w:top w:val="nil"/>
              <w:left w:val="nil"/>
              <w:bottom w:val="single" w:color="auto" w:sz="4" w:space="0"/>
              <w:right w:val="single" w:color="auto" w:sz="4" w:space="0"/>
            </w:tcBorders>
            <w:noWrap/>
            <w:vAlign w:val="center"/>
          </w:tcPr>
          <w:p w14:paraId="0903C73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集选</w:t>
            </w:r>
          </w:p>
        </w:tc>
      </w:tr>
      <w:tr w14:paraId="2DF19A29">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43715E8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4#</w:t>
            </w:r>
          </w:p>
        </w:tc>
        <w:tc>
          <w:tcPr>
            <w:tcW w:w="1600" w:type="dxa"/>
            <w:tcBorders>
              <w:top w:val="single" w:color="auto" w:sz="4" w:space="0"/>
              <w:left w:val="single" w:color="auto" w:sz="4" w:space="0"/>
              <w:bottom w:val="single" w:color="auto" w:sz="4" w:space="0"/>
              <w:right w:val="single" w:color="auto" w:sz="4" w:space="0"/>
            </w:tcBorders>
            <w:noWrap/>
            <w:vAlign w:val="center"/>
          </w:tcPr>
          <w:p w14:paraId="01863FD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K-02171</w:t>
            </w:r>
          </w:p>
        </w:tc>
        <w:tc>
          <w:tcPr>
            <w:tcW w:w="2244" w:type="dxa"/>
            <w:tcBorders>
              <w:top w:val="nil"/>
              <w:left w:val="nil"/>
              <w:bottom w:val="single" w:color="auto" w:sz="4" w:space="0"/>
              <w:right w:val="single" w:color="auto" w:sz="4" w:space="0"/>
            </w:tcBorders>
            <w:noWrap/>
            <w:vAlign w:val="center"/>
          </w:tcPr>
          <w:p w14:paraId="52F2230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TBJ1600/1.0-JX</w:t>
            </w:r>
          </w:p>
        </w:tc>
        <w:tc>
          <w:tcPr>
            <w:tcW w:w="1483" w:type="dxa"/>
            <w:tcBorders>
              <w:top w:val="nil"/>
              <w:left w:val="nil"/>
              <w:bottom w:val="single" w:color="auto" w:sz="4" w:space="0"/>
              <w:right w:val="single" w:color="auto" w:sz="4" w:space="0"/>
            </w:tcBorders>
            <w:noWrap/>
            <w:vAlign w:val="center"/>
          </w:tcPr>
          <w:p w14:paraId="6983992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5379832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1.0</w:t>
            </w:r>
          </w:p>
        </w:tc>
        <w:tc>
          <w:tcPr>
            <w:tcW w:w="1616" w:type="dxa"/>
            <w:tcBorders>
              <w:top w:val="nil"/>
              <w:left w:val="nil"/>
              <w:bottom w:val="single" w:color="auto" w:sz="4" w:space="0"/>
              <w:right w:val="single" w:color="auto" w:sz="4" w:space="0"/>
            </w:tcBorders>
            <w:noWrap/>
            <w:vAlign w:val="center"/>
          </w:tcPr>
          <w:p w14:paraId="24ED11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5层5站</w:t>
            </w:r>
          </w:p>
        </w:tc>
        <w:tc>
          <w:tcPr>
            <w:tcW w:w="1185" w:type="dxa"/>
            <w:tcBorders>
              <w:top w:val="nil"/>
              <w:left w:val="nil"/>
              <w:bottom w:val="single" w:color="auto" w:sz="4" w:space="0"/>
              <w:right w:val="single" w:color="auto" w:sz="4" w:space="0"/>
            </w:tcBorders>
            <w:noWrap/>
            <w:vAlign w:val="center"/>
          </w:tcPr>
          <w:p w14:paraId="3ACBEC6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lang w:val="en-US" w:eastAsia="zh-CN"/>
              </w:rPr>
              <w:t>集选</w:t>
            </w:r>
          </w:p>
        </w:tc>
      </w:tr>
      <w:tr w14:paraId="06EF5D48">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4119FD8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5#</w:t>
            </w:r>
          </w:p>
        </w:tc>
        <w:tc>
          <w:tcPr>
            <w:tcW w:w="1600" w:type="dxa"/>
            <w:tcBorders>
              <w:top w:val="single" w:color="auto" w:sz="4" w:space="0"/>
              <w:left w:val="single" w:color="auto" w:sz="4" w:space="0"/>
              <w:bottom w:val="single" w:color="auto" w:sz="4" w:space="0"/>
              <w:right w:val="single" w:color="auto" w:sz="4" w:space="0"/>
            </w:tcBorders>
            <w:noWrap/>
            <w:vAlign w:val="center"/>
          </w:tcPr>
          <w:p w14:paraId="3DF3552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K-02170</w:t>
            </w:r>
          </w:p>
        </w:tc>
        <w:tc>
          <w:tcPr>
            <w:tcW w:w="2244" w:type="dxa"/>
            <w:tcBorders>
              <w:top w:val="nil"/>
              <w:left w:val="nil"/>
              <w:bottom w:val="single" w:color="auto" w:sz="4" w:space="0"/>
              <w:right w:val="single" w:color="auto" w:sz="4" w:space="0"/>
            </w:tcBorders>
            <w:noWrap/>
            <w:vAlign w:val="center"/>
          </w:tcPr>
          <w:p w14:paraId="7A2F445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TBJ1600/1.0-JX</w:t>
            </w:r>
          </w:p>
        </w:tc>
        <w:tc>
          <w:tcPr>
            <w:tcW w:w="1483" w:type="dxa"/>
            <w:tcBorders>
              <w:top w:val="nil"/>
              <w:left w:val="nil"/>
              <w:bottom w:val="single" w:color="auto" w:sz="4" w:space="0"/>
              <w:right w:val="single" w:color="auto" w:sz="4" w:space="0"/>
            </w:tcBorders>
            <w:noWrap/>
            <w:vAlign w:val="center"/>
          </w:tcPr>
          <w:p w14:paraId="6831CAA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61AC008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1.0</w:t>
            </w:r>
          </w:p>
        </w:tc>
        <w:tc>
          <w:tcPr>
            <w:tcW w:w="1616" w:type="dxa"/>
            <w:tcBorders>
              <w:top w:val="nil"/>
              <w:left w:val="nil"/>
              <w:bottom w:val="single" w:color="auto" w:sz="4" w:space="0"/>
              <w:right w:val="single" w:color="auto" w:sz="4" w:space="0"/>
            </w:tcBorders>
            <w:noWrap/>
            <w:vAlign w:val="center"/>
          </w:tcPr>
          <w:p w14:paraId="52A1F05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6层6站</w:t>
            </w:r>
          </w:p>
        </w:tc>
        <w:tc>
          <w:tcPr>
            <w:tcW w:w="1185" w:type="dxa"/>
            <w:tcBorders>
              <w:top w:val="nil"/>
              <w:left w:val="nil"/>
              <w:bottom w:val="single" w:color="auto" w:sz="4" w:space="0"/>
              <w:right w:val="single" w:color="auto" w:sz="4" w:space="0"/>
            </w:tcBorders>
            <w:noWrap/>
            <w:vAlign w:val="center"/>
          </w:tcPr>
          <w:p w14:paraId="358A70B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lang w:val="en-US" w:eastAsia="zh-CN"/>
              </w:rPr>
              <w:t>集选</w:t>
            </w:r>
          </w:p>
        </w:tc>
      </w:tr>
      <w:tr w14:paraId="1FF1CB99">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79D74D1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6#</w:t>
            </w:r>
          </w:p>
        </w:tc>
        <w:tc>
          <w:tcPr>
            <w:tcW w:w="1600" w:type="dxa"/>
            <w:tcBorders>
              <w:top w:val="single" w:color="auto" w:sz="4" w:space="0"/>
              <w:left w:val="single" w:color="auto" w:sz="4" w:space="0"/>
              <w:bottom w:val="single" w:color="auto" w:sz="4" w:space="0"/>
              <w:right w:val="single" w:color="auto" w:sz="4" w:space="0"/>
            </w:tcBorders>
            <w:noWrap/>
            <w:vAlign w:val="center"/>
          </w:tcPr>
          <w:p w14:paraId="48C8EF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K-02169</w:t>
            </w:r>
          </w:p>
        </w:tc>
        <w:tc>
          <w:tcPr>
            <w:tcW w:w="2244" w:type="dxa"/>
            <w:tcBorders>
              <w:top w:val="nil"/>
              <w:left w:val="nil"/>
              <w:bottom w:val="single" w:color="auto" w:sz="4" w:space="0"/>
              <w:right w:val="single" w:color="auto" w:sz="4" w:space="0"/>
            </w:tcBorders>
            <w:noWrap/>
            <w:vAlign w:val="center"/>
          </w:tcPr>
          <w:p w14:paraId="0D1730C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TBJ1600/1.0-JX</w:t>
            </w:r>
          </w:p>
        </w:tc>
        <w:tc>
          <w:tcPr>
            <w:tcW w:w="1483" w:type="dxa"/>
            <w:tcBorders>
              <w:top w:val="nil"/>
              <w:left w:val="nil"/>
              <w:bottom w:val="single" w:color="auto" w:sz="4" w:space="0"/>
              <w:right w:val="single" w:color="auto" w:sz="4" w:space="0"/>
            </w:tcBorders>
            <w:noWrap/>
            <w:vAlign w:val="center"/>
          </w:tcPr>
          <w:p w14:paraId="2D2340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61E0EBD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1.0</w:t>
            </w:r>
          </w:p>
        </w:tc>
        <w:tc>
          <w:tcPr>
            <w:tcW w:w="1616" w:type="dxa"/>
            <w:tcBorders>
              <w:top w:val="nil"/>
              <w:left w:val="nil"/>
              <w:bottom w:val="single" w:color="auto" w:sz="4" w:space="0"/>
              <w:right w:val="single" w:color="auto" w:sz="4" w:space="0"/>
            </w:tcBorders>
            <w:noWrap/>
            <w:vAlign w:val="center"/>
          </w:tcPr>
          <w:p w14:paraId="0C07AA1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6层6站</w:t>
            </w:r>
          </w:p>
        </w:tc>
        <w:tc>
          <w:tcPr>
            <w:tcW w:w="1185" w:type="dxa"/>
            <w:tcBorders>
              <w:top w:val="nil"/>
              <w:left w:val="nil"/>
              <w:bottom w:val="single" w:color="auto" w:sz="4" w:space="0"/>
              <w:right w:val="single" w:color="auto" w:sz="4" w:space="0"/>
            </w:tcBorders>
            <w:noWrap/>
            <w:vAlign w:val="center"/>
          </w:tcPr>
          <w:p w14:paraId="0431697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lang w:val="en-US" w:eastAsia="zh-CN"/>
              </w:rPr>
              <w:t>集选</w:t>
            </w:r>
          </w:p>
        </w:tc>
      </w:tr>
      <w:tr w14:paraId="72D6929C">
        <w:tblPrEx>
          <w:tblCellMar>
            <w:top w:w="0" w:type="dxa"/>
            <w:left w:w="108" w:type="dxa"/>
            <w:bottom w:w="0" w:type="dxa"/>
            <w:right w:w="108" w:type="dxa"/>
          </w:tblCellMar>
        </w:tblPrEx>
        <w:trPr>
          <w:trHeight w:val="375"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2AC6F5D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7#</w:t>
            </w:r>
          </w:p>
        </w:tc>
        <w:tc>
          <w:tcPr>
            <w:tcW w:w="1600" w:type="dxa"/>
            <w:tcBorders>
              <w:top w:val="single" w:color="auto" w:sz="4" w:space="0"/>
              <w:left w:val="single" w:color="auto" w:sz="4" w:space="0"/>
              <w:bottom w:val="single" w:color="auto" w:sz="4" w:space="0"/>
              <w:right w:val="single" w:color="auto" w:sz="4" w:space="0"/>
            </w:tcBorders>
            <w:noWrap/>
            <w:vAlign w:val="center"/>
          </w:tcPr>
          <w:p w14:paraId="1AFEDA2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K-02174</w:t>
            </w:r>
          </w:p>
        </w:tc>
        <w:tc>
          <w:tcPr>
            <w:tcW w:w="2244" w:type="dxa"/>
            <w:tcBorders>
              <w:top w:val="single" w:color="auto" w:sz="4" w:space="0"/>
              <w:left w:val="single" w:color="auto" w:sz="4" w:space="0"/>
              <w:bottom w:val="single" w:color="auto" w:sz="4" w:space="0"/>
              <w:right w:val="single" w:color="auto" w:sz="4" w:space="0"/>
            </w:tcBorders>
            <w:noWrap/>
            <w:vAlign w:val="center"/>
          </w:tcPr>
          <w:p w14:paraId="4A2102A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TKJ1000/1.75-JX</w:t>
            </w:r>
          </w:p>
        </w:tc>
        <w:tc>
          <w:tcPr>
            <w:tcW w:w="1483" w:type="dxa"/>
            <w:tcBorders>
              <w:top w:val="single" w:color="auto" w:sz="4" w:space="0"/>
              <w:left w:val="single" w:color="auto" w:sz="4" w:space="0"/>
              <w:bottom w:val="single" w:color="auto" w:sz="4" w:space="0"/>
              <w:right w:val="single" w:color="auto" w:sz="4" w:space="0"/>
            </w:tcBorders>
            <w:noWrap/>
            <w:vAlign w:val="center"/>
          </w:tcPr>
          <w:p w14:paraId="0B68758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1000</w:t>
            </w:r>
          </w:p>
        </w:tc>
        <w:tc>
          <w:tcPr>
            <w:tcW w:w="1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2A6F6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1.75</w:t>
            </w:r>
          </w:p>
        </w:tc>
        <w:tc>
          <w:tcPr>
            <w:tcW w:w="1616" w:type="dxa"/>
            <w:tcBorders>
              <w:top w:val="single" w:color="auto" w:sz="4" w:space="0"/>
              <w:left w:val="single" w:color="auto" w:sz="4" w:space="0"/>
              <w:bottom w:val="single" w:color="auto" w:sz="4" w:space="0"/>
              <w:right w:val="single" w:color="auto" w:sz="4" w:space="0"/>
            </w:tcBorders>
            <w:noWrap/>
            <w:vAlign w:val="center"/>
          </w:tcPr>
          <w:p w14:paraId="25BC2B7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11层11站</w:t>
            </w:r>
          </w:p>
        </w:tc>
        <w:tc>
          <w:tcPr>
            <w:tcW w:w="1185" w:type="dxa"/>
            <w:tcBorders>
              <w:top w:val="single" w:color="auto" w:sz="4" w:space="0"/>
              <w:left w:val="single" w:color="auto" w:sz="4" w:space="0"/>
              <w:bottom w:val="single" w:color="auto" w:sz="4" w:space="0"/>
              <w:right w:val="single" w:color="auto" w:sz="4" w:space="0"/>
            </w:tcBorders>
            <w:noWrap/>
            <w:vAlign w:val="center"/>
          </w:tcPr>
          <w:p w14:paraId="7A4236E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lang w:val="en-US" w:eastAsia="zh-CN"/>
              </w:rPr>
              <w:t>集选</w:t>
            </w:r>
          </w:p>
        </w:tc>
      </w:tr>
      <w:tr w14:paraId="37F6D7D4">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7CF0031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8#</w:t>
            </w:r>
          </w:p>
        </w:tc>
        <w:tc>
          <w:tcPr>
            <w:tcW w:w="1600" w:type="dxa"/>
            <w:tcBorders>
              <w:top w:val="single" w:color="auto" w:sz="4" w:space="0"/>
              <w:left w:val="single" w:color="auto" w:sz="4" w:space="0"/>
              <w:bottom w:val="single" w:color="auto" w:sz="4" w:space="0"/>
              <w:right w:val="single" w:color="auto" w:sz="4" w:space="0"/>
            </w:tcBorders>
            <w:noWrap/>
            <w:vAlign w:val="center"/>
          </w:tcPr>
          <w:p w14:paraId="660D0CD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K-02175</w:t>
            </w:r>
          </w:p>
        </w:tc>
        <w:tc>
          <w:tcPr>
            <w:tcW w:w="2244" w:type="dxa"/>
            <w:tcBorders>
              <w:top w:val="single" w:color="auto" w:sz="4" w:space="0"/>
              <w:left w:val="nil"/>
              <w:bottom w:val="single" w:color="auto" w:sz="4" w:space="0"/>
              <w:right w:val="single" w:color="auto" w:sz="4" w:space="0"/>
            </w:tcBorders>
            <w:noWrap/>
            <w:vAlign w:val="center"/>
          </w:tcPr>
          <w:p w14:paraId="1541D9C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TBJ1600/1.75-BL</w:t>
            </w:r>
          </w:p>
        </w:tc>
        <w:tc>
          <w:tcPr>
            <w:tcW w:w="1483" w:type="dxa"/>
            <w:tcBorders>
              <w:top w:val="single" w:color="auto" w:sz="4" w:space="0"/>
              <w:left w:val="nil"/>
              <w:bottom w:val="single" w:color="auto" w:sz="4" w:space="0"/>
              <w:right w:val="single" w:color="auto" w:sz="4" w:space="0"/>
            </w:tcBorders>
            <w:noWrap/>
            <w:vAlign w:val="center"/>
          </w:tcPr>
          <w:p w14:paraId="70D452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single" w:color="auto" w:sz="4" w:space="0"/>
              <w:left w:val="nil"/>
              <w:bottom w:val="single" w:color="auto" w:sz="4" w:space="0"/>
              <w:right w:val="single" w:color="auto" w:sz="4" w:space="0"/>
            </w:tcBorders>
            <w:shd w:val="clear" w:color="auto" w:fill="auto"/>
            <w:noWrap/>
            <w:vAlign w:val="center"/>
          </w:tcPr>
          <w:p w14:paraId="1B1253A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1.75</w:t>
            </w:r>
          </w:p>
        </w:tc>
        <w:tc>
          <w:tcPr>
            <w:tcW w:w="1616" w:type="dxa"/>
            <w:tcBorders>
              <w:top w:val="single" w:color="auto" w:sz="4" w:space="0"/>
              <w:left w:val="nil"/>
              <w:bottom w:val="single" w:color="auto" w:sz="4" w:space="0"/>
              <w:right w:val="single" w:color="auto" w:sz="4" w:space="0"/>
            </w:tcBorders>
            <w:noWrap/>
            <w:vAlign w:val="center"/>
          </w:tcPr>
          <w:p w14:paraId="18CFD65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11层11站</w:t>
            </w:r>
          </w:p>
        </w:tc>
        <w:tc>
          <w:tcPr>
            <w:tcW w:w="1185" w:type="dxa"/>
            <w:tcBorders>
              <w:top w:val="single" w:color="auto" w:sz="4" w:space="0"/>
              <w:left w:val="nil"/>
              <w:bottom w:val="single" w:color="auto" w:sz="4" w:space="0"/>
              <w:right w:val="single" w:color="auto" w:sz="4" w:space="0"/>
            </w:tcBorders>
            <w:noWrap/>
            <w:vAlign w:val="center"/>
          </w:tcPr>
          <w:p w14:paraId="0468648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lang w:val="en-US" w:eastAsia="zh-CN"/>
              </w:rPr>
              <w:t>集选</w:t>
            </w:r>
          </w:p>
        </w:tc>
      </w:tr>
      <w:tr w14:paraId="19BDBA1D">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0606DF9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9#</w:t>
            </w:r>
          </w:p>
        </w:tc>
        <w:tc>
          <w:tcPr>
            <w:tcW w:w="1600" w:type="dxa"/>
            <w:tcBorders>
              <w:top w:val="single" w:color="auto" w:sz="4" w:space="0"/>
              <w:left w:val="single" w:color="auto" w:sz="4" w:space="0"/>
              <w:bottom w:val="single" w:color="auto" w:sz="4" w:space="0"/>
              <w:right w:val="single" w:color="auto" w:sz="4" w:space="0"/>
            </w:tcBorders>
            <w:noWrap/>
            <w:vAlign w:val="center"/>
          </w:tcPr>
          <w:p w14:paraId="0F0B09D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K-02176</w:t>
            </w:r>
          </w:p>
        </w:tc>
        <w:tc>
          <w:tcPr>
            <w:tcW w:w="2244" w:type="dxa"/>
            <w:tcBorders>
              <w:top w:val="nil"/>
              <w:left w:val="nil"/>
              <w:bottom w:val="single" w:color="auto" w:sz="4" w:space="0"/>
              <w:right w:val="single" w:color="auto" w:sz="4" w:space="0"/>
            </w:tcBorders>
            <w:noWrap/>
            <w:vAlign w:val="center"/>
          </w:tcPr>
          <w:p w14:paraId="66D43E6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TBJ1600/1.75-BL</w:t>
            </w:r>
          </w:p>
        </w:tc>
        <w:tc>
          <w:tcPr>
            <w:tcW w:w="1483" w:type="dxa"/>
            <w:tcBorders>
              <w:top w:val="nil"/>
              <w:left w:val="nil"/>
              <w:bottom w:val="single" w:color="auto" w:sz="4" w:space="0"/>
              <w:right w:val="single" w:color="auto" w:sz="4" w:space="0"/>
            </w:tcBorders>
            <w:noWrap/>
            <w:vAlign w:val="center"/>
          </w:tcPr>
          <w:p w14:paraId="0BE499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6DE047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1.75</w:t>
            </w:r>
          </w:p>
        </w:tc>
        <w:tc>
          <w:tcPr>
            <w:tcW w:w="1616" w:type="dxa"/>
            <w:tcBorders>
              <w:top w:val="nil"/>
              <w:left w:val="nil"/>
              <w:bottom w:val="single" w:color="auto" w:sz="4" w:space="0"/>
              <w:right w:val="single" w:color="auto" w:sz="4" w:space="0"/>
            </w:tcBorders>
            <w:noWrap/>
            <w:vAlign w:val="center"/>
          </w:tcPr>
          <w:p w14:paraId="4E9321F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11层11站</w:t>
            </w:r>
          </w:p>
        </w:tc>
        <w:tc>
          <w:tcPr>
            <w:tcW w:w="1185" w:type="dxa"/>
            <w:tcBorders>
              <w:top w:val="nil"/>
              <w:left w:val="nil"/>
              <w:bottom w:val="single" w:color="auto" w:sz="4" w:space="0"/>
              <w:right w:val="single" w:color="auto" w:sz="4" w:space="0"/>
            </w:tcBorders>
            <w:noWrap/>
            <w:vAlign w:val="center"/>
          </w:tcPr>
          <w:p w14:paraId="33882FC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并联</w:t>
            </w:r>
          </w:p>
        </w:tc>
      </w:tr>
      <w:tr w14:paraId="1275A75B">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20C0FFA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10#</w:t>
            </w:r>
          </w:p>
        </w:tc>
        <w:tc>
          <w:tcPr>
            <w:tcW w:w="1600" w:type="dxa"/>
            <w:tcBorders>
              <w:top w:val="single" w:color="auto" w:sz="4" w:space="0"/>
              <w:left w:val="single" w:color="auto" w:sz="4" w:space="0"/>
              <w:bottom w:val="single" w:color="auto" w:sz="4" w:space="0"/>
              <w:right w:val="single" w:color="auto" w:sz="4" w:space="0"/>
            </w:tcBorders>
            <w:noWrap/>
            <w:vAlign w:val="center"/>
          </w:tcPr>
          <w:p w14:paraId="4F3C387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K-02177</w:t>
            </w:r>
          </w:p>
        </w:tc>
        <w:tc>
          <w:tcPr>
            <w:tcW w:w="2244" w:type="dxa"/>
            <w:tcBorders>
              <w:top w:val="nil"/>
              <w:left w:val="nil"/>
              <w:bottom w:val="single" w:color="auto" w:sz="4" w:space="0"/>
              <w:right w:val="single" w:color="auto" w:sz="4" w:space="0"/>
            </w:tcBorders>
            <w:noWrap/>
            <w:vAlign w:val="center"/>
          </w:tcPr>
          <w:p w14:paraId="4118D0E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TKJ1600/1.75-BL</w:t>
            </w:r>
          </w:p>
        </w:tc>
        <w:tc>
          <w:tcPr>
            <w:tcW w:w="1483" w:type="dxa"/>
            <w:tcBorders>
              <w:top w:val="nil"/>
              <w:left w:val="nil"/>
              <w:bottom w:val="single" w:color="auto" w:sz="4" w:space="0"/>
              <w:right w:val="single" w:color="auto" w:sz="4" w:space="0"/>
            </w:tcBorders>
            <w:noWrap/>
            <w:vAlign w:val="center"/>
          </w:tcPr>
          <w:p w14:paraId="22E0382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4DC8B9D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1.75</w:t>
            </w:r>
          </w:p>
        </w:tc>
        <w:tc>
          <w:tcPr>
            <w:tcW w:w="1616" w:type="dxa"/>
            <w:tcBorders>
              <w:top w:val="nil"/>
              <w:left w:val="nil"/>
              <w:bottom w:val="single" w:color="auto" w:sz="4" w:space="0"/>
              <w:right w:val="single" w:color="auto" w:sz="4" w:space="0"/>
            </w:tcBorders>
            <w:noWrap/>
            <w:vAlign w:val="center"/>
          </w:tcPr>
          <w:p w14:paraId="7C9CFC6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11层11站</w:t>
            </w:r>
          </w:p>
        </w:tc>
        <w:tc>
          <w:tcPr>
            <w:tcW w:w="1185" w:type="dxa"/>
            <w:tcBorders>
              <w:top w:val="nil"/>
              <w:left w:val="nil"/>
              <w:bottom w:val="single" w:color="auto" w:sz="4" w:space="0"/>
              <w:right w:val="single" w:color="auto" w:sz="4" w:space="0"/>
            </w:tcBorders>
            <w:noWrap/>
            <w:vAlign w:val="center"/>
          </w:tcPr>
          <w:p w14:paraId="4DA408A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lang w:val="en-US" w:eastAsia="zh-CN"/>
              </w:rPr>
              <w:t>集选</w:t>
            </w:r>
          </w:p>
        </w:tc>
      </w:tr>
      <w:tr w14:paraId="6677F2C6">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68EF286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11#</w:t>
            </w:r>
          </w:p>
        </w:tc>
        <w:tc>
          <w:tcPr>
            <w:tcW w:w="1600" w:type="dxa"/>
            <w:tcBorders>
              <w:top w:val="single" w:color="auto" w:sz="4" w:space="0"/>
              <w:left w:val="single" w:color="auto" w:sz="4" w:space="0"/>
              <w:bottom w:val="single" w:color="auto" w:sz="4" w:space="0"/>
              <w:right w:val="single" w:color="auto" w:sz="4" w:space="0"/>
            </w:tcBorders>
            <w:noWrap/>
            <w:vAlign w:val="center"/>
          </w:tcPr>
          <w:p w14:paraId="5AA5B44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K-02173</w:t>
            </w:r>
          </w:p>
        </w:tc>
        <w:tc>
          <w:tcPr>
            <w:tcW w:w="2244" w:type="dxa"/>
            <w:tcBorders>
              <w:top w:val="nil"/>
              <w:left w:val="nil"/>
              <w:bottom w:val="single" w:color="auto" w:sz="4" w:space="0"/>
              <w:right w:val="single" w:color="auto" w:sz="4" w:space="0"/>
            </w:tcBorders>
            <w:noWrap/>
            <w:vAlign w:val="center"/>
          </w:tcPr>
          <w:p w14:paraId="2759B6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TKJ1000/1.75-JX</w:t>
            </w:r>
          </w:p>
        </w:tc>
        <w:tc>
          <w:tcPr>
            <w:tcW w:w="1483" w:type="dxa"/>
            <w:tcBorders>
              <w:top w:val="nil"/>
              <w:left w:val="nil"/>
              <w:bottom w:val="single" w:color="auto" w:sz="4" w:space="0"/>
              <w:right w:val="single" w:color="auto" w:sz="4" w:space="0"/>
            </w:tcBorders>
            <w:noWrap/>
            <w:vAlign w:val="center"/>
          </w:tcPr>
          <w:p w14:paraId="2E30B36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1000</w:t>
            </w:r>
          </w:p>
        </w:tc>
        <w:tc>
          <w:tcPr>
            <w:tcW w:w="1443" w:type="dxa"/>
            <w:tcBorders>
              <w:top w:val="nil"/>
              <w:left w:val="nil"/>
              <w:bottom w:val="single" w:color="auto" w:sz="4" w:space="0"/>
              <w:right w:val="single" w:color="auto" w:sz="4" w:space="0"/>
            </w:tcBorders>
            <w:shd w:val="clear" w:color="auto" w:fill="auto"/>
            <w:noWrap/>
            <w:vAlign w:val="center"/>
          </w:tcPr>
          <w:p w14:paraId="62EA77C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1.75</w:t>
            </w:r>
          </w:p>
        </w:tc>
        <w:tc>
          <w:tcPr>
            <w:tcW w:w="1616" w:type="dxa"/>
            <w:tcBorders>
              <w:top w:val="nil"/>
              <w:left w:val="nil"/>
              <w:bottom w:val="single" w:color="auto" w:sz="4" w:space="0"/>
              <w:right w:val="single" w:color="auto" w:sz="4" w:space="0"/>
            </w:tcBorders>
            <w:noWrap/>
            <w:vAlign w:val="center"/>
          </w:tcPr>
          <w:p w14:paraId="2775BAF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11层11站</w:t>
            </w:r>
          </w:p>
        </w:tc>
        <w:tc>
          <w:tcPr>
            <w:tcW w:w="1185" w:type="dxa"/>
            <w:tcBorders>
              <w:top w:val="nil"/>
              <w:left w:val="nil"/>
              <w:bottom w:val="single" w:color="auto" w:sz="4" w:space="0"/>
              <w:right w:val="single" w:color="auto" w:sz="4" w:space="0"/>
            </w:tcBorders>
            <w:noWrap/>
            <w:vAlign w:val="center"/>
          </w:tcPr>
          <w:p w14:paraId="02EB92A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集选</w:t>
            </w:r>
          </w:p>
        </w:tc>
      </w:tr>
      <w:tr w14:paraId="35631095">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19A7579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12#</w:t>
            </w:r>
          </w:p>
        </w:tc>
        <w:tc>
          <w:tcPr>
            <w:tcW w:w="1600" w:type="dxa"/>
            <w:tcBorders>
              <w:top w:val="single" w:color="auto" w:sz="4" w:space="0"/>
              <w:left w:val="single" w:color="auto" w:sz="4" w:space="0"/>
              <w:bottom w:val="single" w:color="auto" w:sz="4" w:space="0"/>
              <w:right w:val="single" w:color="auto" w:sz="4" w:space="0"/>
            </w:tcBorders>
            <w:noWrap/>
            <w:vAlign w:val="center"/>
          </w:tcPr>
          <w:p w14:paraId="118BEED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K-01892</w:t>
            </w:r>
          </w:p>
        </w:tc>
        <w:tc>
          <w:tcPr>
            <w:tcW w:w="2244" w:type="dxa"/>
            <w:tcBorders>
              <w:top w:val="single" w:color="auto" w:sz="4" w:space="0"/>
              <w:left w:val="single" w:color="auto" w:sz="4" w:space="0"/>
              <w:bottom w:val="single" w:color="auto" w:sz="4" w:space="0"/>
              <w:right w:val="single" w:color="auto" w:sz="4" w:space="0"/>
            </w:tcBorders>
            <w:noWrap/>
            <w:vAlign w:val="center"/>
          </w:tcPr>
          <w:p w14:paraId="3FC83D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TBJ1600/1.75-BL</w:t>
            </w:r>
          </w:p>
        </w:tc>
        <w:tc>
          <w:tcPr>
            <w:tcW w:w="1483" w:type="dxa"/>
            <w:tcBorders>
              <w:top w:val="single" w:color="auto" w:sz="4" w:space="0"/>
              <w:left w:val="single" w:color="auto" w:sz="4" w:space="0"/>
              <w:bottom w:val="single" w:color="auto" w:sz="4" w:space="0"/>
              <w:right w:val="single" w:color="auto" w:sz="4" w:space="0"/>
            </w:tcBorders>
            <w:noWrap/>
            <w:vAlign w:val="center"/>
          </w:tcPr>
          <w:p w14:paraId="1CEBB5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586DF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1.75</w:t>
            </w:r>
          </w:p>
        </w:tc>
        <w:tc>
          <w:tcPr>
            <w:tcW w:w="1616" w:type="dxa"/>
            <w:tcBorders>
              <w:top w:val="single" w:color="auto" w:sz="4" w:space="0"/>
              <w:left w:val="single" w:color="auto" w:sz="4" w:space="0"/>
              <w:bottom w:val="single" w:color="auto" w:sz="4" w:space="0"/>
              <w:right w:val="single" w:color="auto" w:sz="4" w:space="0"/>
            </w:tcBorders>
            <w:noWrap/>
            <w:vAlign w:val="center"/>
          </w:tcPr>
          <w:p w14:paraId="20AE8C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11层11站</w:t>
            </w:r>
          </w:p>
        </w:tc>
        <w:tc>
          <w:tcPr>
            <w:tcW w:w="1185" w:type="dxa"/>
            <w:tcBorders>
              <w:top w:val="single" w:color="auto" w:sz="4" w:space="0"/>
              <w:left w:val="single" w:color="auto" w:sz="4" w:space="0"/>
              <w:bottom w:val="single" w:color="auto" w:sz="4" w:space="0"/>
              <w:right w:val="single" w:color="auto" w:sz="4" w:space="0"/>
            </w:tcBorders>
            <w:noWrap/>
            <w:vAlign w:val="center"/>
          </w:tcPr>
          <w:p w14:paraId="6D2BE32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并联</w:t>
            </w:r>
          </w:p>
        </w:tc>
      </w:tr>
      <w:tr w14:paraId="1981BD30">
        <w:tblPrEx>
          <w:tblCellMar>
            <w:top w:w="0" w:type="dxa"/>
            <w:left w:w="108" w:type="dxa"/>
            <w:bottom w:w="0" w:type="dxa"/>
            <w:right w:w="108" w:type="dxa"/>
          </w:tblCellMar>
        </w:tblPrEx>
        <w:trPr>
          <w:trHeight w:val="375"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256CB2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13#</w:t>
            </w:r>
          </w:p>
        </w:tc>
        <w:tc>
          <w:tcPr>
            <w:tcW w:w="1600" w:type="dxa"/>
            <w:tcBorders>
              <w:top w:val="single" w:color="auto" w:sz="4" w:space="0"/>
              <w:left w:val="single" w:color="auto" w:sz="4" w:space="0"/>
              <w:bottom w:val="single" w:color="auto" w:sz="4" w:space="0"/>
              <w:right w:val="single" w:color="auto" w:sz="4" w:space="0"/>
            </w:tcBorders>
            <w:noWrap/>
            <w:vAlign w:val="center"/>
          </w:tcPr>
          <w:p w14:paraId="1089F2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K-01889</w:t>
            </w:r>
          </w:p>
        </w:tc>
        <w:tc>
          <w:tcPr>
            <w:tcW w:w="2244" w:type="dxa"/>
            <w:tcBorders>
              <w:top w:val="single" w:color="auto" w:sz="4" w:space="0"/>
              <w:left w:val="nil"/>
              <w:bottom w:val="single" w:color="auto" w:sz="4" w:space="0"/>
              <w:right w:val="single" w:color="auto" w:sz="4" w:space="0"/>
            </w:tcBorders>
            <w:noWrap/>
            <w:vAlign w:val="center"/>
          </w:tcPr>
          <w:p w14:paraId="3E7A870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TBJ1600/1.75-BL</w:t>
            </w:r>
          </w:p>
        </w:tc>
        <w:tc>
          <w:tcPr>
            <w:tcW w:w="1483" w:type="dxa"/>
            <w:tcBorders>
              <w:top w:val="single" w:color="auto" w:sz="4" w:space="0"/>
              <w:left w:val="nil"/>
              <w:bottom w:val="single" w:color="auto" w:sz="4" w:space="0"/>
              <w:right w:val="single" w:color="auto" w:sz="4" w:space="0"/>
            </w:tcBorders>
            <w:noWrap/>
            <w:vAlign w:val="center"/>
          </w:tcPr>
          <w:p w14:paraId="6F98B5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single" w:color="auto" w:sz="4" w:space="0"/>
              <w:left w:val="nil"/>
              <w:bottom w:val="single" w:color="auto" w:sz="4" w:space="0"/>
              <w:right w:val="single" w:color="auto" w:sz="4" w:space="0"/>
            </w:tcBorders>
            <w:shd w:val="clear" w:color="auto" w:fill="auto"/>
            <w:noWrap/>
            <w:vAlign w:val="center"/>
          </w:tcPr>
          <w:p w14:paraId="220AC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1.75</w:t>
            </w:r>
          </w:p>
        </w:tc>
        <w:tc>
          <w:tcPr>
            <w:tcW w:w="1616" w:type="dxa"/>
            <w:tcBorders>
              <w:top w:val="single" w:color="auto" w:sz="4" w:space="0"/>
              <w:left w:val="nil"/>
              <w:bottom w:val="single" w:color="auto" w:sz="4" w:space="0"/>
              <w:right w:val="single" w:color="auto" w:sz="4" w:space="0"/>
            </w:tcBorders>
            <w:noWrap/>
            <w:vAlign w:val="center"/>
          </w:tcPr>
          <w:p w14:paraId="27AA41A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11层11站</w:t>
            </w:r>
          </w:p>
        </w:tc>
        <w:tc>
          <w:tcPr>
            <w:tcW w:w="1185" w:type="dxa"/>
            <w:tcBorders>
              <w:top w:val="single" w:color="auto" w:sz="4" w:space="0"/>
              <w:left w:val="nil"/>
              <w:bottom w:val="single" w:color="auto" w:sz="4" w:space="0"/>
              <w:right w:val="single" w:color="auto" w:sz="4" w:space="0"/>
            </w:tcBorders>
            <w:noWrap/>
            <w:vAlign w:val="center"/>
          </w:tcPr>
          <w:p w14:paraId="62D2490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并联</w:t>
            </w:r>
          </w:p>
        </w:tc>
      </w:tr>
      <w:tr w14:paraId="66897F5A">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2BA7E7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14#</w:t>
            </w:r>
          </w:p>
        </w:tc>
        <w:tc>
          <w:tcPr>
            <w:tcW w:w="1600" w:type="dxa"/>
            <w:tcBorders>
              <w:top w:val="single" w:color="auto" w:sz="4" w:space="0"/>
              <w:left w:val="single" w:color="auto" w:sz="4" w:space="0"/>
              <w:bottom w:val="single" w:color="auto" w:sz="4" w:space="0"/>
              <w:right w:val="single" w:color="auto" w:sz="4" w:space="0"/>
            </w:tcBorders>
            <w:noWrap/>
            <w:vAlign w:val="center"/>
          </w:tcPr>
          <w:p w14:paraId="7D96B9A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K-01890</w:t>
            </w:r>
          </w:p>
        </w:tc>
        <w:tc>
          <w:tcPr>
            <w:tcW w:w="2244" w:type="dxa"/>
            <w:tcBorders>
              <w:top w:val="nil"/>
              <w:left w:val="nil"/>
              <w:bottom w:val="single" w:color="auto" w:sz="4" w:space="0"/>
              <w:right w:val="single" w:color="auto" w:sz="4" w:space="0"/>
            </w:tcBorders>
            <w:noWrap/>
            <w:vAlign w:val="center"/>
          </w:tcPr>
          <w:p w14:paraId="05A505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TBJ1600/1.75-BL</w:t>
            </w:r>
          </w:p>
        </w:tc>
        <w:tc>
          <w:tcPr>
            <w:tcW w:w="1483" w:type="dxa"/>
            <w:tcBorders>
              <w:top w:val="nil"/>
              <w:left w:val="nil"/>
              <w:bottom w:val="single" w:color="auto" w:sz="4" w:space="0"/>
              <w:right w:val="single" w:color="auto" w:sz="4" w:space="0"/>
            </w:tcBorders>
            <w:noWrap/>
            <w:vAlign w:val="center"/>
          </w:tcPr>
          <w:p w14:paraId="4B7FEA7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034833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1.75</w:t>
            </w:r>
          </w:p>
        </w:tc>
        <w:tc>
          <w:tcPr>
            <w:tcW w:w="1616" w:type="dxa"/>
            <w:tcBorders>
              <w:top w:val="nil"/>
              <w:left w:val="nil"/>
              <w:bottom w:val="single" w:color="auto" w:sz="4" w:space="0"/>
              <w:right w:val="single" w:color="auto" w:sz="4" w:space="0"/>
            </w:tcBorders>
            <w:noWrap/>
            <w:vAlign w:val="center"/>
          </w:tcPr>
          <w:p w14:paraId="18B6B69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11层11站</w:t>
            </w:r>
          </w:p>
        </w:tc>
        <w:tc>
          <w:tcPr>
            <w:tcW w:w="1185" w:type="dxa"/>
            <w:tcBorders>
              <w:top w:val="nil"/>
              <w:left w:val="nil"/>
              <w:bottom w:val="single" w:color="auto" w:sz="4" w:space="0"/>
              <w:right w:val="single" w:color="auto" w:sz="4" w:space="0"/>
            </w:tcBorders>
            <w:noWrap/>
            <w:vAlign w:val="center"/>
          </w:tcPr>
          <w:p w14:paraId="734112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集选</w:t>
            </w:r>
          </w:p>
        </w:tc>
      </w:tr>
      <w:tr w14:paraId="7468AA32">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3ECEF9C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15#</w:t>
            </w:r>
          </w:p>
        </w:tc>
        <w:tc>
          <w:tcPr>
            <w:tcW w:w="1600" w:type="dxa"/>
            <w:tcBorders>
              <w:top w:val="single" w:color="auto" w:sz="4" w:space="0"/>
              <w:left w:val="single" w:color="auto" w:sz="4" w:space="0"/>
              <w:bottom w:val="single" w:color="auto" w:sz="4" w:space="0"/>
              <w:right w:val="single" w:color="auto" w:sz="4" w:space="0"/>
            </w:tcBorders>
            <w:noWrap/>
            <w:vAlign w:val="center"/>
          </w:tcPr>
          <w:p w14:paraId="65BEEDE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K-02081</w:t>
            </w:r>
          </w:p>
        </w:tc>
        <w:tc>
          <w:tcPr>
            <w:tcW w:w="2244" w:type="dxa"/>
            <w:tcBorders>
              <w:top w:val="nil"/>
              <w:left w:val="nil"/>
              <w:bottom w:val="single" w:color="auto" w:sz="4" w:space="0"/>
              <w:right w:val="single" w:color="auto" w:sz="4" w:space="0"/>
            </w:tcBorders>
            <w:noWrap/>
            <w:vAlign w:val="center"/>
          </w:tcPr>
          <w:p w14:paraId="0FC4D7B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TKJ1000/1.0-JX</w:t>
            </w:r>
          </w:p>
        </w:tc>
        <w:tc>
          <w:tcPr>
            <w:tcW w:w="1483" w:type="dxa"/>
            <w:tcBorders>
              <w:top w:val="nil"/>
              <w:left w:val="nil"/>
              <w:bottom w:val="single" w:color="auto" w:sz="4" w:space="0"/>
              <w:right w:val="single" w:color="auto" w:sz="4" w:space="0"/>
            </w:tcBorders>
            <w:noWrap/>
            <w:vAlign w:val="center"/>
          </w:tcPr>
          <w:p w14:paraId="122FDEC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1000</w:t>
            </w:r>
          </w:p>
        </w:tc>
        <w:tc>
          <w:tcPr>
            <w:tcW w:w="1443" w:type="dxa"/>
            <w:tcBorders>
              <w:top w:val="nil"/>
              <w:left w:val="nil"/>
              <w:bottom w:val="single" w:color="auto" w:sz="4" w:space="0"/>
              <w:right w:val="single" w:color="auto" w:sz="4" w:space="0"/>
            </w:tcBorders>
            <w:shd w:val="clear" w:color="auto" w:fill="auto"/>
            <w:noWrap/>
            <w:vAlign w:val="center"/>
          </w:tcPr>
          <w:p w14:paraId="23F6EE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1.0</w:t>
            </w:r>
          </w:p>
        </w:tc>
        <w:tc>
          <w:tcPr>
            <w:tcW w:w="1616" w:type="dxa"/>
            <w:tcBorders>
              <w:top w:val="nil"/>
              <w:left w:val="nil"/>
              <w:bottom w:val="single" w:color="auto" w:sz="4" w:space="0"/>
              <w:right w:val="single" w:color="auto" w:sz="4" w:space="0"/>
            </w:tcBorders>
            <w:noWrap/>
            <w:vAlign w:val="center"/>
          </w:tcPr>
          <w:p w14:paraId="6A92A2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4层4站</w:t>
            </w:r>
          </w:p>
        </w:tc>
        <w:tc>
          <w:tcPr>
            <w:tcW w:w="1185" w:type="dxa"/>
            <w:tcBorders>
              <w:top w:val="nil"/>
              <w:left w:val="nil"/>
              <w:bottom w:val="single" w:color="auto" w:sz="4" w:space="0"/>
              <w:right w:val="single" w:color="auto" w:sz="4" w:space="0"/>
            </w:tcBorders>
            <w:noWrap/>
            <w:vAlign w:val="center"/>
          </w:tcPr>
          <w:p w14:paraId="0919F34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lang w:val="en-US" w:eastAsia="zh-CN"/>
              </w:rPr>
              <w:t>集选</w:t>
            </w:r>
          </w:p>
        </w:tc>
      </w:tr>
      <w:tr w14:paraId="01D42FD9">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34134F6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17#</w:t>
            </w:r>
          </w:p>
        </w:tc>
        <w:tc>
          <w:tcPr>
            <w:tcW w:w="1600" w:type="dxa"/>
            <w:tcBorders>
              <w:top w:val="single" w:color="auto" w:sz="4" w:space="0"/>
              <w:left w:val="single" w:color="auto" w:sz="4" w:space="0"/>
              <w:bottom w:val="single" w:color="auto" w:sz="4" w:space="0"/>
              <w:right w:val="single" w:color="auto" w:sz="4" w:space="0"/>
            </w:tcBorders>
            <w:noWrap/>
            <w:vAlign w:val="center"/>
          </w:tcPr>
          <w:p w14:paraId="2436573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K-02082</w:t>
            </w:r>
          </w:p>
        </w:tc>
        <w:tc>
          <w:tcPr>
            <w:tcW w:w="2244" w:type="dxa"/>
            <w:tcBorders>
              <w:top w:val="nil"/>
              <w:left w:val="nil"/>
              <w:bottom w:val="single" w:color="auto" w:sz="4" w:space="0"/>
              <w:right w:val="single" w:color="auto" w:sz="4" w:space="0"/>
            </w:tcBorders>
            <w:noWrap/>
            <w:vAlign w:val="center"/>
          </w:tcPr>
          <w:p w14:paraId="2B6CE5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TBJ1600/1.75-JX</w:t>
            </w:r>
          </w:p>
        </w:tc>
        <w:tc>
          <w:tcPr>
            <w:tcW w:w="1483" w:type="dxa"/>
            <w:tcBorders>
              <w:top w:val="nil"/>
              <w:left w:val="nil"/>
              <w:bottom w:val="single" w:color="auto" w:sz="4" w:space="0"/>
              <w:right w:val="single" w:color="auto" w:sz="4" w:space="0"/>
            </w:tcBorders>
            <w:noWrap/>
            <w:vAlign w:val="center"/>
          </w:tcPr>
          <w:p w14:paraId="206774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0BD678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1.75</w:t>
            </w:r>
          </w:p>
        </w:tc>
        <w:tc>
          <w:tcPr>
            <w:tcW w:w="1616" w:type="dxa"/>
            <w:tcBorders>
              <w:top w:val="nil"/>
              <w:left w:val="nil"/>
              <w:bottom w:val="single" w:color="auto" w:sz="4" w:space="0"/>
              <w:right w:val="single" w:color="auto" w:sz="4" w:space="0"/>
            </w:tcBorders>
            <w:noWrap/>
            <w:vAlign w:val="center"/>
          </w:tcPr>
          <w:p w14:paraId="1DE95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13层13站</w:t>
            </w:r>
          </w:p>
        </w:tc>
        <w:tc>
          <w:tcPr>
            <w:tcW w:w="1185" w:type="dxa"/>
            <w:tcBorders>
              <w:top w:val="nil"/>
              <w:left w:val="nil"/>
              <w:bottom w:val="single" w:color="auto" w:sz="4" w:space="0"/>
              <w:right w:val="single" w:color="auto" w:sz="4" w:space="0"/>
            </w:tcBorders>
            <w:noWrap/>
            <w:vAlign w:val="center"/>
          </w:tcPr>
          <w:p w14:paraId="0868A95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集选</w:t>
            </w:r>
          </w:p>
        </w:tc>
      </w:tr>
      <w:tr w14:paraId="1E066915">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3A5A6F0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18#</w:t>
            </w:r>
          </w:p>
        </w:tc>
        <w:tc>
          <w:tcPr>
            <w:tcW w:w="1600" w:type="dxa"/>
            <w:tcBorders>
              <w:top w:val="single" w:color="auto" w:sz="4" w:space="0"/>
              <w:left w:val="single" w:color="auto" w:sz="4" w:space="0"/>
              <w:bottom w:val="single" w:color="auto" w:sz="4" w:space="0"/>
              <w:right w:val="single" w:color="auto" w:sz="4" w:space="0"/>
            </w:tcBorders>
            <w:noWrap/>
            <w:vAlign w:val="center"/>
          </w:tcPr>
          <w:p w14:paraId="5F5A85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K-02250</w:t>
            </w:r>
          </w:p>
        </w:tc>
        <w:tc>
          <w:tcPr>
            <w:tcW w:w="2244" w:type="dxa"/>
            <w:tcBorders>
              <w:top w:val="nil"/>
              <w:left w:val="nil"/>
              <w:bottom w:val="single" w:color="auto" w:sz="4" w:space="0"/>
              <w:right w:val="single" w:color="auto" w:sz="4" w:space="0"/>
            </w:tcBorders>
            <w:noWrap/>
            <w:vAlign w:val="center"/>
          </w:tcPr>
          <w:p w14:paraId="74DEF07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TKJ1600/1.75-JX</w:t>
            </w:r>
          </w:p>
        </w:tc>
        <w:tc>
          <w:tcPr>
            <w:tcW w:w="1483" w:type="dxa"/>
            <w:tcBorders>
              <w:top w:val="nil"/>
              <w:left w:val="nil"/>
              <w:bottom w:val="single" w:color="auto" w:sz="4" w:space="0"/>
              <w:right w:val="single" w:color="auto" w:sz="4" w:space="0"/>
            </w:tcBorders>
            <w:noWrap/>
            <w:vAlign w:val="center"/>
          </w:tcPr>
          <w:p w14:paraId="7FBBCAF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030293C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1.75</w:t>
            </w:r>
          </w:p>
        </w:tc>
        <w:tc>
          <w:tcPr>
            <w:tcW w:w="1616" w:type="dxa"/>
            <w:tcBorders>
              <w:top w:val="nil"/>
              <w:left w:val="nil"/>
              <w:bottom w:val="single" w:color="auto" w:sz="4" w:space="0"/>
              <w:right w:val="single" w:color="auto" w:sz="4" w:space="0"/>
            </w:tcBorders>
            <w:noWrap/>
            <w:vAlign w:val="center"/>
          </w:tcPr>
          <w:p w14:paraId="138B7CC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13层13站</w:t>
            </w:r>
          </w:p>
        </w:tc>
        <w:tc>
          <w:tcPr>
            <w:tcW w:w="1185" w:type="dxa"/>
            <w:tcBorders>
              <w:top w:val="nil"/>
              <w:left w:val="nil"/>
              <w:bottom w:val="single" w:color="auto" w:sz="4" w:space="0"/>
              <w:right w:val="single" w:color="auto" w:sz="4" w:space="0"/>
            </w:tcBorders>
            <w:noWrap/>
            <w:vAlign w:val="center"/>
          </w:tcPr>
          <w:p w14:paraId="5C275D0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集选</w:t>
            </w:r>
          </w:p>
        </w:tc>
      </w:tr>
      <w:tr w14:paraId="3973E2E8">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43D34DB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20#</w:t>
            </w:r>
          </w:p>
        </w:tc>
        <w:tc>
          <w:tcPr>
            <w:tcW w:w="1600" w:type="dxa"/>
            <w:tcBorders>
              <w:top w:val="single" w:color="auto" w:sz="4" w:space="0"/>
              <w:left w:val="single" w:color="auto" w:sz="4" w:space="0"/>
              <w:bottom w:val="single" w:color="auto" w:sz="4" w:space="0"/>
              <w:right w:val="single" w:color="auto" w:sz="4" w:space="0"/>
            </w:tcBorders>
            <w:noWrap/>
            <w:vAlign w:val="center"/>
          </w:tcPr>
          <w:p w14:paraId="7A1866C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K-02080</w:t>
            </w:r>
          </w:p>
        </w:tc>
        <w:tc>
          <w:tcPr>
            <w:tcW w:w="2244" w:type="dxa"/>
            <w:tcBorders>
              <w:top w:val="nil"/>
              <w:left w:val="nil"/>
              <w:bottom w:val="single" w:color="auto" w:sz="4" w:space="0"/>
              <w:right w:val="single" w:color="auto" w:sz="4" w:space="0"/>
            </w:tcBorders>
            <w:noWrap/>
            <w:vAlign w:val="center"/>
          </w:tcPr>
          <w:p w14:paraId="272D81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TBJ1600/1.0-JX</w:t>
            </w:r>
          </w:p>
        </w:tc>
        <w:tc>
          <w:tcPr>
            <w:tcW w:w="1483" w:type="dxa"/>
            <w:tcBorders>
              <w:top w:val="nil"/>
              <w:left w:val="nil"/>
              <w:bottom w:val="single" w:color="auto" w:sz="4" w:space="0"/>
              <w:right w:val="single" w:color="auto" w:sz="4" w:space="0"/>
            </w:tcBorders>
            <w:noWrap/>
            <w:vAlign w:val="center"/>
          </w:tcPr>
          <w:p w14:paraId="5AC5DDC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43" w:type="dxa"/>
            <w:tcBorders>
              <w:top w:val="nil"/>
              <w:left w:val="nil"/>
              <w:bottom w:val="single" w:color="auto" w:sz="4" w:space="0"/>
              <w:right w:val="single" w:color="auto" w:sz="4" w:space="0"/>
            </w:tcBorders>
            <w:shd w:val="clear" w:color="auto" w:fill="auto"/>
            <w:noWrap/>
            <w:vAlign w:val="center"/>
          </w:tcPr>
          <w:p w14:paraId="68DC620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1.0</w:t>
            </w:r>
          </w:p>
        </w:tc>
        <w:tc>
          <w:tcPr>
            <w:tcW w:w="1616" w:type="dxa"/>
            <w:tcBorders>
              <w:top w:val="nil"/>
              <w:left w:val="nil"/>
              <w:bottom w:val="single" w:color="auto" w:sz="4" w:space="0"/>
              <w:right w:val="single" w:color="auto" w:sz="4" w:space="0"/>
            </w:tcBorders>
            <w:noWrap/>
            <w:vAlign w:val="center"/>
          </w:tcPr>
          <w:p w14:paraId="7181959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3层3站</w:t>
            </w:r>
          </w:p>
        </w:tc>
        <w:tc>
          <w:tcPr>
            <w:tcW w:w="1185" w:type="dxa"/>
            <w:tcBorders>
              <w:top w:val="nil"/>
              <w:left w:val="nil"/>
              <w:bottom w:val="single" w:color="auto" w:sz="4" w:space="0"/>
              <w:right w:val="single" w:color="auto" w:sz="4" w:space="0"/>
            </w:tcBorders>
            <w:noWrap/>
            <w:vAlign w:val="center"/>
          </w:tcPr>
          <w:p w14:paraId="3977EC2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集选</w:t>
            </w:r>
          </w:p>
        </w:tc>
      </w:tr>
      <w:tr w14:paraId="7AFD3570">
        <w:tblPrEx>
          <w:tblCellMar>
            <w:top w:w="0" w:type="dxa"/>
            <w:left w:w="108" w:type="dxa"/>
            <w:bottom w:w="0" w:type="dxa"/>
            <w:right w:w="108" w:type="dxa"/>
          </w:tblCellMar>
        </w:tblPrEx>
        <w:trPr>
          <w:trHeight w:val="402" w:hRule="atLeast"/>
          <w:jc w:val="center"/>
        </w:trPr>
        <w:tc>
          <w:tcPr>
            <w:tcW w:w="831" w:type="dxa"/>
            <w:tcBorders>
              <w:top w:val="single" w:color="auto" w:sz="4" w:space="0"/>
              <w:left w:val="single" w:color="auto" w:sz="4" w:space="0"/>
              <w:bottom w:val="single" w:color="auto" w:sz="4" w:space="0"/>
              <w:right w:val="single" w:color="auto" w:sz="4" w:space="0"/>
            </w:tcBorders>
            <w:noWrap/>
            <w:vAlign w:val="center"/>
          </w:tcPr>
          <w:p w14:paraId="3ABB699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21#</w:t>
            </w:r>
          </w:p>
        </w:tc>
        <w:tc>
          <w:tcPr>
            <w:tcW w:w="1600" w:type="dxa"/>
            <w:tcBorders>
              <w:top w:val="single" w:color="auto" w:sz="4" w:space="0"/>
              <w:left w:val="single" w:color="auto" w:sz="4" w:space="0"/>
              <w:bottom w:val="single" w:color="auto" w:sz="4" w:space="0"/>
              <w:right w:val="single" w:color="auto" w:sz="4" w:space="0"/>
            </w:tcBorders>
            <w:noWrap/>
            <w:vAlign w:val="center"/>
          </w:tcPr>
          <w:p w14:paraId="2F444A2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H-05298</w:t>
            </w:r>
          </w:p>
        </w:tc>
        <w:tc>
          <w:tcPr>
            <w:tcW w:w="2244" w:type="dxa"/>
            <w:tcBorders>
              <w:top w:val="nil"/>
              <w:left w:val="nil"/>
              <w:bottom w:val="single" w:color="auto" w:sz="4" w:space="0"/>
              <w:right w:val="single" w:color="auto" w:sz="4" w:space="0"/>
            </w:tcBorders>
            <w:noWrap/>
            <w:vAlign w:val="center"/>
          </w:tcPr>
          <w:p w14:paraId="0DE57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THJ1000/0.63-JX</w:t>
            </w:r>
          </w:p>
        </w:tc>
        <w:tc>
          <w:tcPr>
            <w:tcW w:w="1483" w:type="dxa"/>
            <w:tcBorders>
              <w:top w:val="nil"/>
              <w:left w:val="nil"/>
              <w:bottom w:val="single" w:color="auto" w:sz="4" w:space="0"/>
              <w:right w:val="single" w:color="auto" w:sz="4" w:space="0"/>
            </w:tcBorders>
            <w:noWrap/>
            <w:vAlign w:val="center"/>
          </w:tcPr>
          <w:p w14:paraId="0125D4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1000</w:t>
            </w:r>
          </w:p>
        </w:tc>
        <w:tc>
          <w:tcPr>
            <w:tcW w:w="1443" w:type="dxa"/>
            <w:tcBorders>
              <w:top w:val="nil"/>
              <w:left w:val="nil"/>
              <w:bottom w:val="single" w:color="auto" w:sz="4" w:space="0"/>
              <w:right w:val="single" w:color="auto" w:sz="4" w:space="0"/>
            </w:tcBorders>
            <w:shd w:val="clear" w:color="auto" w:fill="auto"/>
            <w:noWrap/>
            <w:vAlign w:val="center"/>
          </w:tcPr>
          <w:p w14:paraId="151AAC9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0.63</w:t>
            </w:r>
          </w:p>
        </w:tc>
        <w:tc>
          <w:tcPr>
            <w:tcW w:w="1616" w:type="dxa"/>
            <w:tcBorders>
              <w:top w:val="nil"/>
              <w:left w:val="nil"/>
              <w:bottom w:val="single" w:color="auto" w:sz="4" w:space="0"/>
              <w:right w:val="single" w:color="auto" w:sz="4" w:space="0"/>
            </w:tcBorders>
            <w:noWrap/>
            <w:vAlign w:val="center"/>
          </w:tcPr>
          <w:p w14:paraId="1500581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3层3站</w:t>
            </w:r>
          </w:p>
        </w:tc>
        <w:tc>
          <w:tcPr>
            <w:tcW w:w="1185" w:type="dxa"/>
            <w:tcBorders>
              <w:top w:val="nil"/>
              <w:left w:val="nil"/>
              <w:bottom w:val="single" w:color="auto" w:sz="4" w:space="0"/>
              <w:right w:val="single" w:color="auto" w:sz="4" w:space="0"/>
            </w:tcBorders>
            <w:noWrap/>
            <w:vAlign w:val="center"/>
          </w:tcPr>
          <w:p w14:paraId="5D5B18D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lang w:val="en-US" w:eastAsia="zh-CN"/>
              </w:rPr>
              <w:t>集选</w:t>
            </w:r>
          </w:p>
        </w:tc>
      </w:tr>
    </w:tbl>
    <w:p w14:paraId="44CCC963">
      <w:pPr>
        <w:keepNext w:val="0"/>
        <w:keepLines w:val="0"/>
        <w:pageBreakBefore w:val="0"/>
        <w:tabs>
          <w:tab w:val="left" w:pos="616"/>
        </w:tabs>
        <w:kinsoku/>
        <w:wordWrap/>
        <w:overflowPunct/>
        <w:topLinePunct w:val="0"/>
        <w:bidi w:val="0"/>
        <w:snapToGrid/>
        <w:spacing w:beforeLines="20" w:line="360" w:lineRule="auto"/>
        <w:rPr>
          <w:rFonts w:ascii="宋体" w:hAnsi="宋体"/>
          <w:sz w:val="24"/>
        </w:rPr>
      </w:pPr>
      <w:r>
        <w:rPr>
          <w:rFonts w:hint="eastAsia" w:ascii="宋体" w:hAnsi="宋体"/>
          <w:sz w:val="24"/>
        </w:rPr>
        <w:t>2、妇幼楼（1</w:t>
      </w:r>
      <w:r>
        <w:rPr>
          <w:rFonts w:hint="eastAsia" w:ascii="宋体" w:hAnsi="宋体"/>
          <w:sz w:val="24"/>
          <w:lang w:val="en-US" w:eastAsia="zh-CN"/>
        </w:rPr>
        <w:t>0</w:t>
      </w:r>
      <w:r>
        <w:rPr>
          <w:rFonts w:hint="eastAsia" w:ascii="宋体" w:hAnsi="宋体"/>
          <w:sz w:val="24"/>
        </w:rPr>
        <w:t>台）</w:t>
      </w:r>
    </w:p>
    <w:tbl>
      <w:tblPr>
        <w:tblStyle w:val="21"/>
        <w:tblW w:w="10442" w:type="dxa"/>
        <w:jc w:val="center"/>
        <w:tblLayout w:type="fixed"/>
        <w:tblCellMar>
          <w:top w:w="0" w:type="dxa"/>
          <w:left w:w="108" w:type="dxa"/>
          <w:bottom w:w="0" w:type="dxa"/>
          <w:right w:w="108" w:type="dxa"/>
        </w:tblCellMar>
      </w:tblPr>
      <w:tblGrid>
        <w:gridCol w:w="711"/>
        <w:gridCol w:w="1667"/>
        <w:gridCol w:w="2167"/>
        <w:gridCol w:w="1480"/>
        <w:gridCol w:w="1420"/>
        <w:gridCol w:w="1566"/>
        <w:gridCol w:w="1431"/>
      </w:tblGrid>
      <w:tr w14:paraId="5CA60594">
        <w:tblPrEx>
          <w:tblCellMar>
            <w:top w:w="0" w:type="dxa"/>
            <w:left w:w="108" w:type="dxa"/>
            <w:bottom w:w="0" w:type="dxa"/>
            <w:right w:w="108" w:type="dxa"/>
          </w:tblCellMar>
        </w:tblPrEx>
        <w:trPr>
          <w:trHeight w:val="402" w:hRule="atLeast"/>
          <w:jc w:val="center"/>
        </w:trPr>
        <w:tc>
          <w:tcPr>
            <w:tcW w:w="711" w:type="dxa"/>
            <w:tcBorders>
              <w:top w:val="single" w:color="auto" w:sz="4" w:space="0"/>
              <w:left w:val="single" w:color="auto" w:sz="4" w:space="0"/>
              <w:bottom w:val="single" w:color="auto" w:sz="4" w:space="0"/>
              <w:right w:val="single" w:color="auto" w:sz="4" w:space="0"/>
            </w:tcBorders>
            <w:noWrap/>
            <w:vAlign w:val="center"/>
          </w:tcPr>
          <w:p w14:paraId="5DCD9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Cs w:val="28"/>
                <w:lang w:val="en-US" w:eastAsia="zh-CN"/>
              </w:rPr>
            </w:pPr>
            <w:r>
              <w:rPr>
                <w:rFonts w:hint="eastAsia" w:ascii="宋体" w:hAnsi="宋体" w:cs="宋体"/>
                <w:kern w:val="0"/>
                <w:szCs w:val="28"/>
                <w:lang w:val="en-US" w:eastAsia="zh-CN"/>
              </w:rPr>
              <w:t>梯号</w:t>
            </w:r>
          </w:p>
        </w:tc>
        <w:tc>
          <w:tcPr>
            <w:tcW w:w="1667" w:type="dxa"/>
            <w:tcBorders>
              <w:top w:val="single" w:color="auto" w:sz="4" w:space="0"/>
              <w:left w:val="single" w:color="auto" w:sz="4" w:space="0"/>
              <w:bottom w:val="single" w:color="auto" w:sz="4" w:space="0"/>
              <w:right w:val="single" w:color="auto" w:sz="4" w:space="0"/>
            </w:tcBorders>
            <w:noWrap/>
            <w:vAlign w:val="center"/>
          </w:tcPr>
          <w:p w14:paraId="40E98E9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Cs w:val="28"/>
              </w:rPr>
            </w:pPr>
            <w:r>
              <w:rPr>
                <w:rFonts w:hint="eastAsia" w:ascii="宋体" w:hAnsi="宋体" w:cs="宋体"/>
                <w:kern w:val="0"/>
                <w:szCs w:val="28"/>
              </w:rPr>
              <w:t>单位内部编号</w:t>
            </w:r>
          </w:p>
        </w:tc>
        <w:tc>
          <w:tcPr>
            <w:tcW w:w="2167" w:type="dxa"/>
            <w:tcBorders>
              <w:top w:val="single" w:color="auto" w:sz="4" w:space="0"/>
              <w:left w:val="single" w:color="auto" w:sz="4" w:space="0"/>
              <w:bottom w:val="single" w:color="auto" w:sz="4" w:space="0"/>
              <w:right w:val="single" w:color="auto" w:sz="4" w:space="0"/>
            </w:tcBorders>
            <w:noWrap/>
            <w:vAlign w:val="center"/>
          </w:tcPr>
          <w:p w14:paraId="6528A5D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Cs w:val="28"/>
              </w:rPr>
            </w:pPr>
            <w:r>
              <w:rPr>
                <w:rFonts w:hint="eastAsia" w:ascii="宋体" w:hAnsi="宋体" w:cs="宋体"/>
                <w:kern w:val="0"/>
                <w:szCs w:val="28"/>
              </w:rPr>
              <w:t>型号</w:t>
            </w:r>
          </w:p>
        </w:tc>
        <w:tc>
          <w:tcPr>
            <w:tcW w:w="1480" w:type="dxa"/>
            <w:tcBorders>
              <w:top w:val="single" w:color="auto" w:sz="4" w:space="0"/>
              <w:left w:val="nil"/>
              <w:bottom w:val="single" w:color="auto" w:sz="4" w:space="0"/>
              <w:right w:val="single" w:color="auto" w:sz="4" w:space="0"/>
            </w:tcBorders>
            <w:noWrap/>
            <w:vAlign w:val="center"/>
          </w:tcPr>
          <w:p w14:paraId="39CF26C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kern w:val="0"/>
                <w:szCs w:val="28"/>
              </w:rPr>
            </w:pPr>
            <w:r>
              <w:rPr>
                <w:rFonts w:hint="eastAsia" w:ascii="宋体" w:hAnsi="宋体"/>
                <w:szCs w:val="21"/>
              </w:rPr>
              <w:t>额定载重量（KG）</w:t>
            </w:r>
          </w:p>
        </w:tc>
        <w:tc>
          <w:tcPr>
            <w:tcW w:w="1420" w:type="dxa"/>
            <w:tcBorders>
              <w:top w:val="single" w:color="auto" w:sz="4" w:space="0"/>
              <w:left w:val="nil"/>
              <w:bottom w:val="single" w:color="auto" w:sz="4" w:space="0"/>
              <w:right w:val="single" w:color="auto" w:sz="4" w:space="0"/>
            </w:tcBorders>
            <w:noWrap/>
            <w:vAlign w:val="center"/>
          </w:tcPr>
          <w:p w14:paraId="56CAC7C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Cs w:val="28"/>
              </w:rPr>
            </w:pPr>
            <w:r>
              <w:rPr>
                <w:rFonts w:hint="eastAsia" w:ascii="宋体" w:hAnsi="宋体" w:cs="宋体"/>
                <w:kern w:val="0"/>
                <w:szCs w:val="28"/>
                <w:lang w:val="en-US" w:eastAsia="zh-CN"/>
              </w:rPr>
              <w:t>额定</w:t>
            </w:r>
            <w:r>
              <w:rPr>
                <w:rFonts w:hint="eastAsia" w:ascii="宋体" w:hAnsi="宋体" w:cs="宋体"/>
                <w:kern w:val="0"/>
                <w:szCs w:val="28"/>
              </w:rPr>
              <w:t>速度</w:t>
            </w:r>
            <w:r>
              <w:rPr>
                <w:rFonts w:hint="eastAsia" w:ascii="宋体" w:hAnsi="宋体" w:cs="宋体"/>
                <w:kern w:val="0"/>
                <w:szCs w:val="28"/>
                <w:lang w:eastAsia="zh-CN"/>
              </w:rPr>
              <w:t>（</w:t>
            </w:r>
            <w:r>
              <w:rPr>
                <w:rFonts w:hint="eastAsia" w:ascii="宋体" w:hAnsi="宋体" w:cs="宋体"/>
                <w:kern w:val="0"/>
                <w:sz w:val="24"/>
              </w:rPr>
              <w:t>m/s</w:t>
            </w:r>
            <w:r>
              <w:rPr>
                <w:rFonts w:hint="eastAsia" w:ascii="宋体" w:hAnsi="宋体" w:cs="宋体"/>
                <w:kern w:val="0"/>
                <w:szCs w:val="28"/>
                <w:lang w:eastAsia="zh-CN"/>
              </w:rPr>
              <w:t>）</w:t>
            </w:r>
          </w:p>
        </w:tc>
        <w:tc>
          <w:tcPr>
            <w:tcW w:w="1566" w:type="dxa"/>
            <w:tcBorders>
              <w:top w:val="single" w:color="auto" w:sz="4" w:space="0"/>
              <w:left w:val="nil"/>
              <w:bottom w:val="single" w:color="auto" w:sz="4" w:space="0"/>
              <w:right w:val="single" w:color="auto" w:sz="4" w:space="0"/>
            </w:tcBorders>
            <w:shd w:val="clear" w:color="auto" w:fill="auto"/>
            <w:noWrap/>
            <w:vAlign w:val="center"/>
          </w:tcPr>
          <w:p w14:paraId="61AB067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1"/>
                <w:szCs w:val="28"/>
                <w:lang w:val="en-US" w:eastAsia="zh-CN" w:bidi="ar-SA"/>
              </w:rPr>
            </w:pPr>
            <w:r>
              <w:rPr>
                <w:rFonts w:hint="eastAsia" w:ascii="宋体" w:hAnsi="宋体"/>
                <w:szCs w:val="21"/>
              </w:rPr>
              <w:t>层站数</w:t>
            </w:r>
          </w:p>
        </w:tc>
        <w:tc>
          <w:tcPr>
            <w:tcW w:w="1431" w:type="dxa"/>
            <w:tcBorders>
              <w:top w:val="single" w:color="auto" w:sz="4" w:space="0"/>
              <w:left w:val="nil"/>
              <w:bottom w:val="single" w:color="auto" w:sz="4" w:space="0"/>
              <w:right w:val="single" w:color="auto" w:sz="4" w:space="0"/>
            </w:tcBorders>
            <w:noWrap/>
            <w:vAlign w:val="center"/>
          </w:tcPr>
          <w:p w14:paraId="5BE0653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Cs w:val="28"/>
                <w:lang w:val="en-US" w:eastAsia="zh-CN"/>
              </w:rPr>
            </w:pPr>
            <w:r>
              <w:rPr>
                <w:rFonts w:hint="eastAsia" w:ascii="宋体" w:hAnsi="宋体" w:cs="宋体"/>
                <w:kern w:val="0"/>
                <w:szCs w:val="28"/>
                <w:lang w:val="en-US" w:eastAsia="zh-CN"/>
              </w:rPr>
              <w:t>控制方式</w:t>
            </w:r>
          </w:p>
        </w:tc>
      </w:tr>
      <w:tr w14:paraId="1D719E29">
        <w:tblPrEx>
          <w:tblCellMar>
            <w:top w:w="0" w:type="dxa"/>
            <w:left w:w="108" w:type="dxa"/>
            <w:bottom w:w="0" w:type="dxa"/>
            <w:right w:w="108" w:type="dxa"/>
          </w:tblCellMar>
        </w:tblPrEx>
        <w:trPr>
          <w:trHeight w:val="402" w:hRule="atLeast"/>
          <w:jc w:val="center"/>
        </w:trPr>
        <w:tc>
          <w:tcPr>
            <w:tcW w:w="711" w:type="dxa"/>
            <w:tcBorders>
              <w:top w:val="single" w:color="auto" w:sz="4" w:space="0"/>
              <w:left w:val="single" w:color="auto" w:sz="4" w:space="0"/>
              <w:bottom w:val="single" w:color="auto" w:sz="4" w:space="0"/>
              <w:right w:val="single" w:color="auto" w:sz="4" w:space="0"/>
            </w:tcBorders>
            <w:noWrap/>
            <w:vAlign w:val="center"/>
          </w:tcPr>
          <w:p w14:paraId="5E4994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w:t>
            </w:r>
          </w:p>
        </w:tc>
        <w:tc>
          <w:tcPr>
            <w:tcW w:w="1667" w:type="dxa"/>
            <w:tcBorders>
              <w:top w:val="single" w:color="auto" w:sz="4" w:space="0"/>
              <w:left w:val="single" w:color="auto" w:sz="4" w:space="0"/>
              <w:bottom w:val="single" w:color="auto" w:sz="4" w:space="0"/>
              <w:right w:val="single" w:color="auto" w:sz="4" w:space="0"/>
            </w:tcBorders>
            <w:noWrap/>
            <w:vAlign w:val="center"/>
          </w:tcPr>
          <w:p w14:paraId="5659ED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K-12562</w:t>
            </w:r>
          </w:p>
        </w:tc>
        <w:tc>
          <w:tcPr>
            <w:tcW w:w="2167" w:type="dxa"/>
            <w:tcBorders>
              <w:top w:val="single" w:color="auto" w:sz="4" w:space="0"/>
              <w:left w:val="single" w:color="auto" w:sz="4" w:space="0"/>
              <w:bottom w:val="single" w:color="auto" w:sz="4" w:space="0"/>
              <w:right w:val="single" w:color="auto" w:sz="4" w:space="0"/>
            </w:tcBorders>
            <w:noWrap/>
            <w:vAlign w:val="center"/>
          </w:tcPr>
          <w:p w14:paraId="3860EB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HGP-B1600-2S105</w:t>
            </w:r>
          </w:p>
        </w:tc>
        <w:tc>
          <w:tcPr>
            <w:tcW w:w="1480" w:type="dxa"/>
            <w:tcBorders>
              <w:top w:val="nil"/>
              <w:left w:val="nil"/>
              <w:bottom w:val="single" w:color="auto" w:sz="4" w:space="0"/>
              <w:right w:val="single" w:color="auto" w:sz="4" w:space="0"/>
            </w:tcBorders>
            <w:noWrap/>
            <w:vAlign w:val="center"/>
          </w:tcPr>
          <w:p w14:paraId="47B693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20" w:type="dxa"/>
            <w:tcBorders>
              <w:top w:val="nil"/>
              <w:left w:val="nil"/>
              <w:bottom w:val="single" w:color="auto" w:sz="4" w:space="0"/>
              <w:right w:val="single" w:color="auto" w:sz="4" w:space="0"/>
            </w:tcBorders>
            <w:noWrap/>
            <w:vAlign w:val="center"/>
          </w:tcPr>
          <w:p w14:paraId="7AA5E1B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1.75</w:t>
            </w:r>
          </w:p>
        </w:tc>
        <w:tc>
          <w:tcPr>
            <w:tcW w:w="1566" w:type="dxa"/>
            <w:tcBorders>
              <w:top w:val="nil"/>
              <w:left w:val="nil"/>
              <w:bottom w:val="single" w:color="auto" w:sz="4" w:space="0"/>
              <w:right w:val="single" w:color="auto" w:sz="4" w:space="0"/>
            </w:tcBorders>
            <w:shd w:val="clear" w:color="auto" w:fill="auto"/>
            <w:noWrap/>
            <w:vAlign w:val="center"/>
          </w:tcPr>
          <w:p w14:paraId="5C8A40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13层13站</w:t>
            </w:r>
          </w:p>
        </w:tc>
        <w:tc>
          <w:tcPr>
            <w:tcW w:w="1431" w:type="dxa"/>
            <w:tcBorders>
              <w:top w:val="nil"/>
              <w:left w:val="nil"/>
              <w:bottom w:val="single" w:color="auto" w:sz="4" w:space="0"/>
              <w:right w:val="single" w:color="auto" w:sz="4" w:space="0"/>
            </w:tcBorders>
            <w:noWrap/>
            <w:vAlign w:val="center"/>
          </w:tcPr>
          <w:p w14:paraId="181AC37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集选</w:t>
            </w:r>
          </w:p>
        </w:tc>
      </w:tr>
      <w:tr w14:paraId="0BCF811E">
        <w:tblPrEx>
          <w:tblCellMar>
            <w:top w:w="0" w:type="dxa"/>
            <w:left w:w="108" w:type="dxa"/>
            <w:bottom w:w="0" w:type="dxa"/>
            <w:right w:w="108" w:type="dxa"/>
          </w:tblCellMar>
        </w:tblPrEx>
        <w:trPr>
          <w:trHeight w:val="402" w:hRule="atLeast"/>
          <w:jc w:val="center"/>
        </w:trPr>
        <w:tc>
          <w:tcPr>
            <w:tcW w:w="711" w:type="dxa"/>
            <w:tcBorders>
              <w:top w:val="single" w:color="auto" w:sz="4" w:space="0"/>
              <w:left w:val="single" w:color="auto" w:sz="4" w:space="0"/>
              <w:bottom w:val="single" w:color="auto" w:sz="4" w:space="0"/>
              <w:right w:val="single" w:color="auto" w:sz="4" w:space="0"/>
            </w:tcBorders>
            <w:noWrap/>
            <w:vAlign w:val="center"/>
          </w:tcPr>
          <w:p w14:paraId="4492A9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2#</w:t>
            </w:r>
          </w:p>
        </w:tc>
        <w:tc>
          <w:tcPr>
            <w:tcW w:w="1667" w:type="dxa"/>
            <w:tcBorders>
              <w:top w:val="single" w:color="auto" w:sz="4" w:space="0"/>
              <w:left w:val="single" w:color="auto" w:sz="4" w:space="0"/>
              <w:bottom w:val="single" w:color="auto" w:sz="4" w:space="0"/>
              <w:right w:val="single" w:color="auto" w:sz="4" w:space="0"/>
            </w:tcBorders>
            <w:noWrap/>
            <w:vAlign w:val="center"/>
          </w:tcPr>
          <w:p w14:paraId="481FCC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K-12084</w:t>
            </w:r>
          </w:p>
        </w:tc>
        <w:tc>
          <w:tcPr>
            <w:tcW w:w="2167" w:type="dxa"/>
            <w:tcBorders>
              <w:top w:val="single" w:color="auto" w:sz="4" w:space="0"/>
              <w:left w:val="single" w:color="auto" w:sz="4" w:space="0"/>
              <w:bottom w:val="single" w:color="auto" w:sz="4" w:space="0"/>
              <w:right w:val="single" w:color="auto" w:sz="4" w:space="0"/>
            </w:tcBorders>
            <w:noWrap/>
            <w:vAlign w:val="center"/>
          </w:tcPr>
          <w:p w14:paraId="1D761D3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HGP-B1600-2S105</w:t>
            </w:r>
          </w:p>
        </w:tc>
        <w:tc>
          <w:tcPr>
            <w:tcW w:w="1480" w:type="dxa"/>
            <w:tcBorders>
              <w:top w:val="nil"/>
              <w:left w:val="nil"/>
              <w:bottom w:val="single" w:color="auto" w:sz="4" w:space="0"/>
              <w:right w:val="single" w:color="auto" w:sz="4" w:space="0"/>
            </w:tcBorders>
            <w:noWrap/>
            <w:vAlign w:val="center"/>
          </w:tcPr>
          <w:p w14:paraId="67E3635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20" w:type="dxa"/>
            <w:tcBorders>
              <w:top w:val="nil"/>
              <w:left w:val="nil"/>
              <w:bottom w:val="single" w:color="auto" w:sz="4" w:space="0"/>
              <w:right w:val="single" w:color="auto" w:sz="4" w:space="0"/>
            </w:tcBorders>
            <w:noWrap/>
            <w:vAlign w:val="center"/>
          </w:tcPr>
          <w:p w14:paraId="701CCF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1.75</w:t>
            </w:r>
          </w:p>
        </w:tc>
        <w:tc>
          <w:tcPr>
            <w:tcW w:w="1566" w:type="dxa"/>
            <w:tcBorders>
              <w:top w:val="nil"/>
              <w:left w:val="nil"/>
              <w:bottom w:val="single" w:color="auto" w:sz="4" w:space="0"/>
              <w:right w:val="single" w:color="auto" w:sz="4" w:space="0"/>
            </w:tcBorders>
            <w:shd w:val="clear" w:color="auto" w:fill="auto"/>
            <w:noWrap/>
            <w:vAlign w:val="center"/>
          </w:tcPr>
          <w:p w14:paraId="5AEC189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13层13站</w:t>
            </w:r>
          </w:p>
        </w:tc>
        <w:tc>
          <w:tcPr>
            <w:tcW w:w="1431" w:type="dxa"/>
            <w:tcBorders>
              <w:top w:val="nil"/>
              <w:left w:val="nil"/>
              <w:bottom w:val="single" w:color="auto" w:sz="4" w:space="0"/>
              <w:right w:val="single" w:color="auto" w:sz="4" w:space="0"/>
            </w:tcBorders>
            <w:noWrap/>
            <w:vAlign w:val="center"/>
          </w:tcPr>
          <w:p w14:paraId="1856675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lang w:val="en-US" w:eastAsia="zh-CN"/>
              </w:rPr>
              <w:t>集选</w:t>
            </w:r>
          </w:p>
        </w:tc>
      </w:tr>
      <w:tr w14:paraId="6A691A14">
        <w:tblPrEx>
          <w:tblCellMar>
            <w:top w:w="0" w:type="dxa"/>
            <w:left w:w="108" w:type="dxa"/>
            <w:bottom w:w="0" w:type="dxa"/>
            <w:right w:w="108" w:type="dxa"/>
          </w:tblCellMar>
        </w:tblPrEx>
        <w:trPr>
          <w:trHeight w:val="402" w:hRule="atLeast"/>
          <w:jc w:val="center"/>
        </w:trPr>
        <w:tc>
          <w:tcPr>
            <w:tcW w:w="711" w:type="dxa"/>
            <w:tcBorders>
              <w:top w:val="single" w:color="auto" w:sz="4" w:space="0"/>
              <w:left w:val="single" w:color="auto" w:sz="4" w:space="0"/>
              <w:bottom w:val="single" w:color="auto" w:sz="4" w:space="0"/>
              <w:right w:val="single" w:color="auto" w:sz="4" w:space="0"/>
            </w:tcBorders>
            <w:noWrap/>
            <w:vAlign w:val="center"/>
          </w:tcPr>
          <w:p w14:paraId="088B093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3#</w:t>
            </w:r>
          </w:p>
        </w:tc>
        <w:tc>
          <w:tcPr>
            <w:tcW w:w="1667" w:type="dxa"/>
            <w:tcBorders>
              <w:top w:val="single" w:color="auto" w:sz="4" w:space="0"/>
              <w:left w:val="single" w:color="auto" w:sz="4" w:space="0"/>
              <w:bottom w:val="single" w:color="auto" w:sz="4" w:space="0"/>
              <w:right w:val="single" w:color="auto" w:sz="4" w:space="0"/>
            </w:tcBorders>
            <w:noWrap/>
            <w:vAlign w:val="center"/>
          </w:tcPr>
          <w:p w14:paraId="62381E1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K-12083</w:t>
            </w:r>
          </w:p>
        </w:tc>
        <w:tc>
          <w:tcPr>
            <w:tcW w:w="2167" w:type="dxa"/>
            <w:tcBorders>
              <w:top w:val="single" w:color="auto" w:sz="4" w:space="0"/>
              <w:left w:val="single" w:color="auto" w:sz="4" w:space="0"/>
              <w:bottom w:val="single" w:color="auto" w:sz="4" w:space="0"/>
              <w:right w:val="single" w:color="auto" w:sz="4" w:space="0"/>
            </w:tcBorders>
            <w:noWrap/>
            <w:vAlign w:val="center"/>
          </w:tcPr>
          <w:p w14:paraId="6D3070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HGP-B1600-2S105</w:t>
            </w:r>
          </w:p>
        </w:tc>
        <w:tc>
          <w:tcPr>
            <w:tcW w:w="1480" w:type="dxa"/>
            <w:tcBorders>
              <w:top w:val="nil"/>
              <w:left w:val="nil"/>
              <w:bottom w:val="single" w:color="auto" w:sz="4" w:space="0"/>
              <w:right w:val="single" w:color="auto" w:sz="4" w:space="0"/>
            </w:tcBorders>
            <w:noWrap/>
            <w:vAlign w:val="center"/>
          </w:tcPr>
          <w:p w14:paraId="2B06F0B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20" w:type="dxa"/>
            <w:tcBorders>
              <w:top w:val="nil"/>
              <w:left w:val="nil"/>
              <w:bottom w:val="single" w:color="auto" w:sz="4" w:space="0"/>
              <w:right w:val="single" w:color="auto" w:sz="4" w:space="0"/>
            </w:tcBorders>
            <w:noWrap/>
            <w:vAlign w:val="center"/>
          </w:tcPr>
          <w:p w14:paraId="6BEF621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1.75</w:t>
            </w:r>
          </w:p>
        </w:tc>
        <w:tc>
          <w:tcPr>
            <w:tcW w:w="1566" w:type="dxa"/>
            <w:tcBorders>
              <w:top w:val="nil"/>
              <w:left w:val="nil"/>
              <w:bottom w:val="single" w:color="auto" w:sz="4" w:space="0"/>
              <w:right w:val="single" w:color="auto" w:sz="4" w:space="0"/>
            </w:tcBorders>
            <w:shd w:val="clear" w:color="auto" w:fill="auto"/>
            <w:noWrap/>
            <w:vAlign w:val="center"/>
          </w:tcPr>
          <w:p w14:paraId="26317DC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13层13站</w:t>
            </w:r>
          </w:p>
        </w:tc>
        <w:tc>
          <w:tcPr>
            <w:tcW w:w="1431" w:type="dxa"/>
            <w:tcBorders>
              <w:top w:val="nil"/>
              <w:left w:val="nil"/>
              <w:bottom w:val="single" w:color="auto" w:sz="4" w:space="0"/>
              <w:right w:val="single" w:color="auto" w:sz="4" w:space="0"/>
            </w:tcBorders>
            <w:noWrap/>
            <w:vAlign w:val="center"/>
          </w:tcPr>
          <w:p w14:paraId="0FF3C5E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并联</w:t>
            </w:r>
          </w:p>
        </w:tc>
      </w:tr>
      <w:tr w14:paraId="48C2D5C0">
        <w:tblPrEx>
          <w:tblCellMar>
            <w:top w:w="0" w:type="dxa"/>
            <w:left w:w="108" w:type="dxa"/>
            <w:bottom w:w="0" w:type="dxa"/>
            <w:right w:w="108" w:type="dxa"/>
          </w:tblCellMar>
        </w:tblPrEx>
        <w:trPr>
          <w:trHeight w:val="402" w:hRule="atLeast"/>
          <w:jc w:val="center"/>
        </w:trPr>
        <w:tc>
          <w:tcPr>
            <w:tcW w:w="711" w:type="dxa"/>
            <w:tcBorders>
              <w:top w:val="single" w:color="auto" w:sz="4" w:space="0"/>
              <w:left w:val="single" w:color="auto" w:sz="4" w:space="0"/>
              <w:bottom w:val="single" w:color="auto" w:sz="4" w:space="0"/>
              <w:right w:val="single" w:color="auto" w:sz="4" w:space="0"/>
            </w:tcBorders>
            <w:noWrap/>
            <w:vAlign w:val="center"/>
          </w:tcPr>
          <w:p w14:paraId="76D1C1E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4#</w:t>
            </w:r>
          </w:p>
        </w:tc>
        <w:tc>
          <w:tcPr>
            <w:tcW w:w="1667" w:type="dxa"/>
            <w:tcBorders>
              <w:top w:val="single" w:color="auto" w:sz="4" w:space="0"/>
              <w:left w:val="single" w:color="auto" w:sz="4" w:space="0"/>
              <w:bottom w:val="single" w:color="auto" w:sz="4" w:space="0"/>
              <w:right w:val="single" w:color="auto" w:sz="4" w:space="0"/>
            </w:tcBorders>
            <w:noWrap/>
            <w:vAlign w:val="center"/>
          </w:tcPr>
          <w:p w14:paraId="293732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K-12082</w:t>
            </w:r>
          </w:p>
        </w:tc>
        <w:tc>
          <w:tcPr>
            <w:tcW w:w="2167" w:type="dxa"/>
            <w:tcBorders>
              <w:top w:val="single" w:color="auto" w:sz="4" w:space="0"/>
              <w:left w:val="single" w:color="auto" w:sz="4" w:space="0"/>
              <w:bottom w:val="single" w:color="auto" w:sz="4" w:space="0"/>
              <w:right w:val="single" w:color="auto" w:sz="4" w:space="0"/>
            </w:tcBorders>
            <w:noWrap/>
            <w:vAlign w:val="center"/>
          </w:tcPr>
          <w:p w14:paraId="312B9E9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HGP-B1600-2S105</w:t>
            </w:r>
          </w:p>
        </w:tc>
        <w:tc>
          <w:tcPr>
            <w:tcW w:w="1480" w:type="dxa"/>
            <w:tcBorders>
              <w:top w:val="nil"/>
              <w:left w:val="nil"/>
              <w:bottom w:val="single" w:color="auto" w:sz="4" w:space="0"/>
              <w:right w:val="single" w:color="auto" w:sz="4" w:space="0"/>
            </w:tcBorders>
            <w:noWrap/>
            <w:vAlign w:val="center"/>
          </w:tcPr>
          <w:p w14:paraId="76F4EB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20" w:type="dxa"/>
            <w:tcBorders>
              <w:top w:val="nil"/>
              <w:left w:val="nil"/>
              <w:bottom w:val="single" w:color="auto" w:sz="4" w:space="0"/>
              <w:right w:val="single" w:color="auto" w:sz="4" w:space="0"/>
            </w:tcBorders>
            <w:noWrap/>
            <w:vAlign w:val="center"/>
          </w:tcPr>
          <w:p w14:paraId="79D92C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1.75</w:t>
            </w:r>
          </w:p>
        </w:tc>
        <w:tc>
          <w:tcPr>
            <w:tcW w:w="1566" w:type="dxa"/>
            <w:tcBorders>
              <w:top w:val="nil"/>
              <w:left w:val="nil"/>
              <w:bottom w:val="single" w:color="auto" w:sz="4" w:space="0"/>
              <w:right w:val="single" w:color="auto" w:sz="4" w:space="0"/>
            </w:tcBorders>
            <w:shd w:val="clear" w:color="auto" w:fill="auto"/>
            <w:noWrap/>
            <w:vAlign w:val="center"/>
          </w:tcPr>
          <w:p w14:paraId="6B6B5E0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13层13站</w:t>
            </w:r>
          </w:p>
        </w:tc>
        <w:tc>
          <w:tcPr>
            <w:tcW w:w="1431" w:type="dxa"/>
            <w:tcBorders>
              <w:top w:val="nil"/>
              <w:left w:val="nil"/>
              <w:bottom w:val="single" w:color="auto" w:sz="4" w:space="0"/>
              <w:right w:val="single" w:color="auto" w:sz="4" w:space="0"/>
            </w:tcBorders>
            <w:noWrap/>
            <w:vAlign w:val="center"/>
          </w:tcPr>
          <w:p w14:paraId="2E9406A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集选</w:t>
            </w:r>
          </w:p>
        </w:tc>
      </w:tr>
      <w:tr w14:paraId="1C5CB638">
        <w:tblPrEx>
          <w:tblCellMar>
            <w:top w:w="0" w:type="dxa"/>
            <w:left w:w="108" w:type="dxa"/>
            <w:bottom w:w="0" w:type="dxa"/>
            <w:right w:w="108" w:type="dxa"/>
          </w:tblCellMar>
        </w:tblPrEx>
        <w:trPr>
          <w:trHeight w:val="402" w:hRule="atLeast"/>
          <w:jc w:val="center"/>
        </w:trPr>
        <w:tc>
          <w:tcPr>
            <w:tcW w:w="711" w:type="dxa"/>
            <w:tcBorders>
              <w:top w:val="single" w:color="auto" w:sz="4" w:space="0"/>
              <w:left w:val="single" w:color="auto" w:sz="4" w:space="0"/>
              <w:bottom w:val="single" w:color="auto" w:sz="4" w:space="0"/>
              <w:right w:val="single" w:color="auto" w:sz="4" w:space="0"/>
            </w:tcBorders>
            <w:noWrap/>
            <w:vAlign w:val="center"/>
          </w:tcPr>
          <w:p w14:paraId="655BF2C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5#</w:t>
            </w:r>
          </w:p>
        </w:tc>
        <w:tc>
          <w:tcPr>
            <w:tcW w:w="1667" w:type="dxa"/>
            <w:tcBorders>
              <w:top w:val="single" w:color="auto" w:sz="4" w:space="0"/>
              <w:left w:val="single" w:color="auto" w:sz="4" w:space="0"/>
              <w:bottom w:val="single" w:color="auto" w:sz="4" w:space="0"/>
              <w:right w:val="single" w:color="auto" w:sz="4" w:space="0"/>
            </w:tcBorders>
            <w:noWrap/>
            <w:vAlign w:val="center"/>
          </w:tcPr>
          <w:p w14:paraId="2F232F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K-12085</w:t>
            </w:r>
          </w:p>
        </w:tc>
        <w:tc>
          <w:tcPr>
            <w:tcW w:w="2167" w:type="dxa"/>
            <w:tcBorders>
              <w:top w:val="single" w:color="auto" w:sz="4" w:space="0"/>
              <w:left w:val="single" w:color="auto" w:sz="4" w:space="0"/>
              <w:bottom w:val="single" w:color="auto" w:sz="4" w:space="0"/>
              <w:right w:val="single" w:color="auto" w:sz="4" w:space="0"/>
            </w:tcBorders>
            <w:noWrap/>
            <w:vAlign w:val="center"/>
          </w:tcPr>
          <w:p w14:paraId="2FFA096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HGP-B1600-2S105</w:t>
            </w:r>
          </w:p>
        </w:tc>
        <w:tc>
          <w:tcPr>
            <w:tcW w:w="1480" w:type="dxa"/>
            <w:tcBorders>
              <w:top w:val="nil"/>
              <w:left w:val="nil"/>
              <w:bottom w:val="single" w:color="auto" w:sz="4" w:space="0"/>
              <w:right w:val="single" w:color="auto" w:sz="4" w:space="0"/>
            </w:tcBorders>
            <w:noWrap/>
            <w:vAlign w:val="center"/>
          </w:tcPr>
          <w:p w14:paraId="55A8061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20" w:type="dxa"/>
            <w:tcBorders>
              <w:top w:val="nil"/>
              <w:left w:val="nil"/>
              <w:bottom w:val="single" w:color="auto" w:sz="4" w:space="0"/>
              <w:right w:val="single" w:color="auto" w:sz="4" w:space="0"/>
            </w:tcBorders>
            <w:noWrap/>
            <w:vAlign w:val="center"/>
          </w:tcPr>
          <w:p w14:paraId="052F643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1.75</w:t>
            </w:r>
          </w:p>
        </w:tc>
        <w:tc>
          <w:tcPr>
            <w:tcW w:w="1566" w:type="dxa"/>
            <w:tcBorders>
              <w:top w:val="nil"/>
              <w:left w:val="nil"/>
              <w:bottom w:val="single" w:color="auto" w:sz="4" w:space="0"/>
              <w:right w:val="single" w:color="auto" w:sz="4" w:space="0"/>
            </w:tcBorders>
            <w:shd w:val="clear" w:color="auto" w:fill="auto"/>
            <w:noWrap/>
            <w:vAlign w:val="center"/>
          </w:tcPr>
          <w:p w14:paraId="1D9C8DE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13层13站</w:t>
            </w:r>
          </w:p>
        </w:tc>
        <w:tc>
          <w:tcPr>
            <w:tcW w:w="1431" w:type="dxa"/>
            <w:tcBorders>
              <w:top w:val="nil"/>
              <w:left w:val="nil"/>
              <w:bottom w:val="single" w:color="auto" w:sz="4" w:space="0"/>
              <w:right w:val="single" w:color="auto" w:sz="4" w:space="0"/>
            </w:tcBorders>
            <w:noWrap/>
            <w:vAlign w:val="center"/>
          </w:tcPr>
          <w:p w14:paraId="6A95B31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集选</w:t>
            </w:r>
          </w:p>
        </w:tc>
      </w:tr>
      <w:tr w14:paraId="2E1C06D5">
        <w:tblPrEx>
          <w:tblCellMar>
            <w:top w:w="0" w:type="dxa"/>
            <w:left w:w="108" w:type="dxa"/>
            <w:bottom w:w="0" w:type="dxa"/>
            <w:right w:w="108" w:type="dxa"/>
          </w:tblCellMar>
        </w:tblPrEx>
        <w:trPr>
          <w:trHeight w:val="402" w:hRule="atLeast"/>
          <w:jc w:val="center"/>
        </w:trPr>
        <w:tc>
          <w:tcPr>
            <w:tcW w:w="711" w:type="dxa"/>
            <w:tcBorders>
              <w:top w:val="single" w:color="auto" w:sz="4" w:space="0"/>
              <w:left w:val="single" w:color="auto" w:sz="4" w:space="0"/>
              <w:bottom w:val="single" w:color="auto" w:sz="4" w:space="0"/>
              <w:right w:val="single" w:color="auto" w:sz="4" w:space="0"/>
            </w:tcBorders>
            <w:noWrap/>
            <w:vAlign w:val="center"/>
          </w:tcPr>
          <w:p w14:paraId="49A5322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6#</w:t>
            </w:r>
          </w:p>
        </w:tc>
        <w:tc>
          <w:tcPr>
            <w:tcW w:w="1667" w:type="dxa"/>
            <w:tcBorders>
              <w:top w:val="single" w:color="auto" w:sz="4" w:space="0"/>
              <w:left w:val="single" w:color="auto" w:sz="4" w:space="0"/>
              <w:bottom w:val="single" w:color="auto" w:sz="4" w:space="0"/>
              <w:right w:val="single" w:color="auto" w:sz="4" w:space="0"/>
            </w:tcBorders>
            <w:noWrap/>
            <w:vAlign w:val="center"/>
          </w:tcPr>
          <w:p w14:paraId="084CAC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K-12081</w:t>
            </w:r>
          </w:p>
        </w:tc>
        <w:tc>
          <w:tcPr>
            <w:tcW w:w="2167" w:type="dxa"/>
            <w:tcBorders>
              <w:top w:val="single" w:color="auto" w:sz="4" w:space="0"/>
              <w:left w:val="single" w:color="auto" w:sz="4" w:space="0"/>
              <w:bottom w:val="single" w:color="auto" w:sz="4" w:space="0"/>
              <w:right w:val="single" w:color="auto" w:sz="4" w:space="0"/>
            </w:tcBorders>
            <w:noWrap/>
            <w:vAlign w:val="center"/>
          </w:tcPr>
          <w:p w14:paraId="289CF95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HGP-B1600-2S105</w:t>
            </w:r>
          </w:p>
        </w:tc>
        <w:tc>
          <w:tcPr>
            <w:tcW w:w="1480" w:type="dxa"/>
            <w:tcBorders>
              <w:top w:val="nil"/>
              <w:left w:val="nil"/>
              <w:bottom w:val="single" w:color="auto" w:sz="4" w:space="0"/>
              <w:right w:val="single" w:color="auto" w:sz="4" w:space="0"/>
            </w:tcBorders>
            <w:noWrap/>
            <w:vAlign w:val="center"/>
          </w:tcPr>
          <w:p w14:paraId="76358DC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20" w:type="dxa"/>
            <w:tcBorders>
              <w:top w:val="nil"/>
              <w:left w:val="nil"/>
              <w:bottom w:val="single" w:color="auto" w:sz="4" w:space="0"/>
              <w:right w:val="single" w:color="auto" w:sz="4" w:space="0"/>
            </w:tcBorders>
            <w:noWrap/>
            <w:vAlign w:val="center"/>
          </w:tcPr>
          <w:p w14:paraId="3F1596D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1.75</w:t>
            </w:r>
          </w:p>
        </w:tc>
        <w:tc>
          <w:tcPr>
            <w:tcW w:w="1566" w:type="dxa"/>
            <w:tcBorders>
              <w:top w:val="nil"/>
              <w:left w:val="nil"/>
              <w:bottom w:val="single" w:color="auto" w:sz="4" w:space="0"/>
              <w:right w:val="single" w:color="auto" w:sz="4" w:space="0"/>
            </w:tcBorders>
            <w:shd w:val="clear" w:color="auto" w:fill="auto"/>
            <w:noWrap/>
            <w:vAlign w:val="center"/>
          </w:tcPr>
          <w:p w14:paraId="31C3B6A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13层13站</w:t>
            </w:r>
          </w:p>
        </w:tc>
        <w:tc>
          <w:tcPr>
            <w:tcW w:w="1431" w:type="dxa"/>
            <w:tcBorders>
              <w:top w:val="nil"/>
              <w:left w:val="nil"/>
              <w:bottom w:val="single" w:color="auto" w:sz="4" w:space="0"/>
              <w:right w:val="single" w:color="auto" w:sz="4" w:space="0"/>
            </w:tcBorders>
            <w:noWrap/>
            <w:vAlign w:val="center"/>
          </w:tcPr>
          <w:p w14:paraId="3D6F95E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并联</w:t>
            </w:r>
          </w:p>
        </w:tc>
      </w:tr>
      <w:tr w14:paraId="5DEA425F">
        <w:tblPrEx>
          <w:tblCellMar>
            <w:top w:w="0" w:type="dxa"/>
            <w:left w:w="108" w:type="dxa"/>
            <w:bottom w:w="0" w:type="dxa"/>
            <w:right w:w="108" w:type="dxa"/>
          </w:tblCellMar>
        </w:tblPrEx>
        <w:trPr>
          <w:trHeight w:val="402" w:hRule="atLeast"/>
          <w:jc w:val="center"/>
        </w:trPr>
        <w:tc>
          <w:tcPr>
            <w:tcW w:w="711" w:type="dxa"/>
            <w:tcBorders>
              <w:top w:val="single" w:color="auto" w:sz="4" w:space="0"/>
              <w:left w:val="single" w:color="auto" w:sz="4" w:space="0"/>
              <w:bottom w:val="single" w:color="auto" w:sz="4" w:space="0"/>
              <w:right w:val="single" w:color="auto" w:sz="4" w:space="0"/>
            </w:tcBorders>
            <w:noWrap/>
            <w:vAlign w:val="center"/>
          </w:tcPr>
          <w:p w14:paraId="20CA261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7#</w:t>
            </w:r>
          </w:p>
        </w:tc>
        <w:tc>
          <w:tcPr>
            <w:tcW w:w="1667" w:type="dxa"/>
            <w:tcBorders>
              <w:top w:val="single" w:color="auto" w:sz="4" w:space="0"/>
              <w:left w:val="single" w:color="auto" w:sz="4" w:space="0"/>
              <w:bottom w:val="single" w:color="auto" w:sz="4" w:space="0"/>
              <w:right w:val="single" w:color="auto" w:sz="4" w:space="0"/>
            </w:tcBorders>
            <w:noWrap/>
            <w:vAlign w:val="center"/>
          </w:tcPr>
          <w:p w14:paraId="51995E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K-12080</w:t>
            </w:r>
          </w:p>
        </w:tc>
        <w:tc>
          <w:tcPr>
            <w:tcW w:w="2167" w:type="dxa"/>
            <w:tcBorders>
              <w:top w:val="single" w:color="auto" w:sz="4" w:space="0"/>
              <w:left w:val="single" w:color="auto" w:sz="4" w:space="0"/>
              <w:bottom w:val="single" w:color="auto" w:sz="4" w:space="0"/>
              <w:right w:val="single" w:color="auto" w:sz="4" w:space="0"/>
            </w:tcBorders>
            <w:noWrap/>
            <w:vAlign w:val="center"/>
          </w:tcPr>
          <w:p w14:paraId="19DD084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HGP-B1600-2S105</w:t>
            </w:r>
          </w:p>
        </w:tc>
        <w:tc>
          <w:tcPr>
            <w:tcW w:w="1480" w:type="dxa"/>
            <w:tcBorders>
              <w:top w:val="nil"/>
              <w:left w:val="nil"/>
              <w:bottom w:val="single" w:color="auto" w:sz="4" w:space="0"/>
              <w:right w:val="single" w:color="auto" w:sz="4" w:space="0"/>
            </w:tcBorders>
            <w:noWrap/>
            <w:vAlign w:val="center"/>
          </w:tcPr>
          <w:p w14:paraId="368F6E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20" w:type="dxa"/>
            <w:tcBorders>
              <w:top w:val="nil"/>
              <w:left w:val="nil"/>
              <w:bottom w:val="single" w:color="auto" w:sz="4" w:space="0"/>
              <w:right w:val="single" w:color="auto" w:sz="4" w:space="0"/>
            </w:tcBorders>
            <w:noWrap/>
            <w:vAlign w:val="center"/>
          </w:tcPr>
          <w:p w14:paraId="22A4559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1.75</w:t>
            </w:r>
          </w:p>
        </w:tc>
        <w:tc>
          <w:tcPr>
            <w:tcW w:w="1566" w:type="dxa"/>
            <w:tcBorders>
              <w:top w:val="nil"/>
              <w:left w:val="nil"/>
              <w:bottom w:val="single" w:color="auto" w:sz="4" w:space="0"/>
              <w:right w:val="single" w:color="auto" w:sz="4" w:space="0"/>
            </w:tcBorders>
            <w:shd w:val="clear" w:color="auto" w:fill="auto"/>
            <w:noWrap/>
            <w:vAlign w:val="center"/>
          </w:tcPr>
          <w:p w14:paraId="65BE9AA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13层13站</w:t>
            </w:r>
          </w:p>
        </w:tc>
        <w:tc>
          <w:tcPr>
            <w:tcW w:w="1431" w:type="dxa"/>
            <w:tcBorders>
              <w:top w:val="nil"/>
              <w:left w:val="nil"/>
              <w:bottom w:val="single" w:color="auto" w:sz="4" w:space="0"/>
              <w:right w:val="single" w:color="auto" w:sz="4" w:space="0"/>
            </w:tcBorders>
            <w:noWrap/>
            <w:vAlign w:val="center"/>
          </w:tcPr>
          <w:p w14:paraId="0C71C61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并联</w:t>
            </w:r>
          </w:p>
        </w:tc>
      </w:tr>
      <w:tr w14:paraId="7A894B07">
        <w:tblPrEx>
          <w:tblCellMar>
            <w:top w:w="0" w:type="dxa"/>
            <w:left w:w="108" w:type="dxa"/>
            <w:bottom w:w="0" w:type="dxa"/>
            <w:right w:w="108" w:type="dxa"/>
          </w:tblCellMar>
        </w:tblPrEx>
        <w:trPr>
          <w:trHeight w:val="402" w:hRule="atLeast"/>
          <w:jc w:val="center"/>
        </w:trPr>
        <w:tc>
          <w:tcPr>
            <w:tcW w:w="711" w:type="dxa"/>
            <w:tcBorders>
              <w:top w:val="single" w:color="auto" w:sz="4" w:space="0"/>
              <w:left w:val="single" w:color="auto" w:sz="4" w:space="0"/>
              <w:bottom w:val="single" w:color="auto" w:sz="4" w:space="0"/>
              <w:right w:val="single" w:color="auto" w:sz="4" w:space="0"/>
            </w:tcBorders>
            <w:noWrap/>
            <w:vAlign w:val="center"/>
          </w:tcPr>
          <w:p w14:paraId="5900EBE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8#</w:t>
            </w:r>
          </w:p>
        </w:tc>
        <w:tc>
          <w:tcPr>
            <w:tcW w:w="1667" w:type="dxa"/>
            <w:tcBorders>
              <w:top w:val="single" w:color="auto" w:sz="4" w:space="0"/>
              <w:left w:val="single" w:color="auto" w:sz="4" w:space="0"/>
              <w:bottom w:val="single" w:color="auto" w:sz="4" w:space="0"/>
              <w:right w:val="single" w:color="auto" w:sz="4" w:space="0"/>
            </w:tcBorders>
            <w:noWrap/>
            <w:vAlign w:val="center"/>
          </w:tcPr>
          <w:p w14:paraId="2292240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K-12563</w:t>
            </w:r>
          </w:p>
        </w:tc>
        <w:tc>
          <w:tcPr>
            <w:tcW w:w="2167" w:type="dxa"/>
            <w:tcBorders>
              <w:top w:val="single" w:color="auto" w:sz="4" w:space="0"/>
              <w:left w:val="single" w:color="auto" w:sz="4" w:space="0"/>
              <w:bottom w:val="single" w:color="auto" w:sz="4" w:space="0"/>
              <w:right w:val="single" w:color="auto" w:sz="4" w:space="0"/>
            </w:tcBorders>
            <w:noWrap/>
            <w:vAlign w:val="center"/>
          </w:tcPr>
          <w:p w14:paraId="1832FFC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HGP-1050-C0105</w:t>
            </w:r>
          </w:p>
        </w:tc>
        <w:tc>
          <w:tcPr>
            <w:tcW w:w="1480" w:type="dxa"/>
            <w:tcBorders>
              <w:top w:val="nil"/>
              <w:left w:val="nil"/>
              <w:bottom w:val="single" w:color="auto" w:sz="4" w:space="0"/>
              <w:right w:val="single" w:color="auto" w:sz="4" w:space="0"/>
            </w:tcBorders>
            <w:noWrap/>
            <w:vAlign w:val="center"/>
          </w:tcPr>
          <w:p w14:paraId="63B88F5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1050</w:t>
            </w:r>
          </w:p>
        </w:tc>
        <w:tc>
          <w:tcPr>
            <w:tcW w:w="1420" w:type="dxa"/>
            <w:tcBorders>
              <w:top w:val="nil"/>
              <w:left w:val="nil"/>
              <w:bottom w:val="single" w:color="auto" w:sz="4" w:space="0"/>
              <w:right w:val="single" w:color="auto" w:sz="4" w:space="0"/>
            </w:tcBorders>
            <w:noWrap/>
            <w:vAlign w:val="center"/>
          </w:tcPr>
          <w:p w14:paraId="61E379A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1.75</w:t>
            </w:r>
          </w:p>
        </w:tc>
        <w:tc>
          <w:tcPr>
            <w:tcW w:w="1566" w:type="dxa"/>
            <w:tcBorders>
              <w:top w:val="nil"/>
              <w:left w:val="nil"/>
              <w:bottom w:val="single" w:color="auto" w:sz="4" w:space="0"/>
              <w:right w:val="single" w:color="auto" w:sz="4" w:space="0"/>
            </w:tcBorders>
            <w:shd w:val="clear" w:color="auto" w:fill="auto"/>
            <w:noWrap/>
            <w:vAlign w:val="center"/>
          </w:tcPr>
          <w:p w14:paraId="745942D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13层13站</w:t>
            </w:r>
          </w:p>
        </w:tc>
        <w:tc>
          <w:tcPr>
            <w:tcW w:w="1431" w:type="dxa"/>
            <w:tcBorders>
              <w:top w:val="nil"/>
              <w:left w:val="nil"/>
              <w:bottom w:val="single" w:color="auto" w:sz="4" w:space="0"/>
              <w:right w:val="single" w:color="auto" w:sz="4" w:space="0"/>
            </w:tcBorders>
            <w:noWrap/>
            <w:vAlign w:val="center"/>
          </w:tcPr>
          <w:p w14:paraId="7B1EE67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并联</w:t>
            </w:r>
          </w:p>
        </w:tc>
      </w:tr>
      <w:tr w14:paraId="38F5C87D">
        <w:tblPrEx>
          <w:tblCellMar>
            <w:top w:w="0" w:type="dxa"/>
            <w:left w:w="108" w:type="dxa"/>
            <w:bottom w:w="0" w:type="dxa"/>
            <w:right w:w="108" w:type="dxa"/>
          </w:tblCellMar>
        </w:tblPrEx>
        <w:trPr>
          <w:trHeight w:val="402" w:hRule="atLeast"/>
          <w:jc w:val="center"/>
        </w:trPr>
        <w:tc>
          <w:tcPr>
            <w:tcW w:w="711" w:type="dxa"/>
            <w:tcBorders>
              <w:top w:val="single" w:color="auto" w:sz="4" w:space="0"/>
              <w:left w:val="single" w:color="auto" w:sz="4" w:space="0"/>
              <w:bottom w:val="single" w:color="auto" w:sz="4" w:space="0"/>
              <w:right w:val="single" w:color="auto" w:sz="4" w:space="0"/>
            </w:tcBorders>
            <w:noWrap/>
            <w:vAlign w:val="center"/>
          </w:tcPr>
          <w:p w14:paraId="08AC13C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9#</w:t>
            </w:r>
          </w:p>
        </w:tc>
        <w:tc>
          <w:tcPr>
            <w:tcW w:w="1667" w:type="dxa"/>
            <w:tcBorders>
              <w:top w:val="single" w:color="auto" w:sz="4" w:space="0"/>
              <w:left w:val="single" w:color="auto" w:sz="4" w:space="0"/>
              <w:bottom w:val="single" w:color="auto" w:sz="4" w:space="0"/>
              <w:right w:val="single" w:color="auto" w:sz="4" w:space="0"/>
            </w:tcBorders>
            <w:noWrap/>
            <w:vAlign w:val="center"/>
          </w:tcPr>
          <w:p w14:paraId="2CF77F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K-12564</w:t>
            </w:r>
          </w:p>
        </w:tc>
        <w:tc>
          <w:tcPr>
            <w:tcW w:w="2167" w:type="dxa"/>
            <w:tcBorders>
              <w:top w:val="single" w:color="auto" w:sz="4" w:space="0"/>
              <w:left w:val="single" w:color="auto" w:sz="4" w:space="0"/>
              <w:bottom w:val="single" w:color="auto" w:sz="4" w:space="0"/>
              <w:right w:val="single" w:color="auto" w:sz="4" w:space="0"/>
            </w:tcBorders>
            <w:noWrap/>
            <w:vAlign w:val="center"/>
          </w:tcPr>
          <w:p w14:paraId="12ADEEC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HGP-1050-C0105</w:t>
            </w:r>
          </w:p>
        </w:tc>
        <w:tc>
          <w:tcPr>
            <w:tcW w:w="1480" w:type="dxa"/>
            <w:tcBorders>
              <w:top w:val="nil"/>
              <w:left w:val="nil"/>
              <w:bottom w:val="single" w:color="auto" w:sz="4" w:space="0"/>
              <w:right w:val="single" w:color="auto" w:sz="4" w:space="0"/>
            </w:tcBorders>
            <w:noWrap/>
            <w:vAlign w:val="center"/>
          </w:tcPr>
          <w:p w14:paraId="4C0177D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1050</w:t>
            </w:r>
          </w:p>
        </w:tc>
        <w:tc>
          <w:tcPr>
            <w:tcW w:w="1420" w:type="dxa"/>
            <w:tcBorders>
              <w:top w:val="nil"/>
              <w:left w:val="nil"/>
              <w:bottom w:val="single" w:color="auto" w:sz="4" w:space="0"/>
              <w:right w:val="single" w:color="auto" w:sz="4" w:space="0"/>
            </w:tcBorders>
            <w:noWrap/>
            <w:vAlign w:val="center"/>
          </w:tcPr>
          <w:p w14:paraId="45B23E4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1.75</w:t>
            </w:r>
          </w:p>
        </w:tc>
        <w:tc>
          <w:tcPr>
            <w:tcW w:w="1566" w:type="dxa"/>
            <w:tcBorders>
              <w:top w:val="nil"/>
              <w:left w:val="nil"/>
              <w:bottom w:val="single" w:color="auto" w:sz="4" w:space="0"/>
              <w:right w:val="single" w:color="auto" w:sz="4" w:space="0"/>
            </w:tcBorders>
            <w:shd w:val="clear" w:color="auto" w:fill="auto"/>
            <w:noWrap/>
            <w:vAlign w:val="center"/>
          </w:tcPr>
          <w:p w14:paraId="4768B2A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13层13站</w:t>
            </w:r>
          </w:p>
        </w:tc>
        <w:tc>
          <w:tcPr>
            <w:tcW w:w="1431" w:type="dxa"/>
            <w:tcBorders>
              <w:top w:val="nil"/>
              <w:left w:val="nil"/>
              <w:bottom w:val="single" w:color="auto" w:sz="4" w:space="0"/>
              <w:right w:val="single" w:color="auto" w:sz="4" w:space="0"/>
            </w:tcBorders>
            <w:noWrap/>
            <w:vAlign w:val="center"/>
          </w:tcPr>
          <w:p w14:paraId="4569210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并联</w:t>
            </w:r>
          </w:p>
        </w:tc>
      </w:tr>
      <w:tr w14:paraId="3A00BDFD">
        <w:tblPrEx>
          <w:tblCellMar>
            <w:top w:w="0" w:type="dxa"/>
            <w:left w:w="108" w:type="dxa"/>
            <w:bottom w:w="0" w:type="dxa"/>
            <w:right w:w="108" w:type="dxa"/>
          </w:tblCellMar>
        </w:tblPrEx>
        <w:trPr>
          <w:trHeight w:val="402" w:hRule="atLeast"/>
          <w:jc w:val="center"/>
        </w:trPr>
        <w:tc>
          <w:tcPr>
            <w:tcW w:w="711" w:type="dxa"/>
            <w:tcBorders>
              <w:top w:val="single" w:color="auto" w:sz="4" w:space="0"/>
              <w:left w:val="single" w:color="auto" w:sz="4" w:space="0"/>
              <w:bottom w:val="single" w:color="auto" w:sz="4" w:space="0"/>
              <w:right w:val="single" w:color="auto" w:sz="4" w:space="0"/>
            </w:tcBorders>
            <w:noWrap/>
            <w:vAlign w:val="center"/>
          </w:tcPr>
          <w:p w14:paraId="1DBECEB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10#</w:t>
            </w:r>
          </w:p>
        </w:tc>
        <w:tc>
          <w:tcPr>
            <w:tcW w:w="1667" w:type="dxa"/>
            <w:tcBorders>
              <w:top w:val="single" w:color="auto" w:sz="4" w:space="0"/>
              <w:left w:val="single" w:color="auto" w:sz="4" w:space="0"/>
              <w:bottom w:val="single" w:color="auto" w:sz="4" w:space="0"/>
              <w:right w:val="single" w:color="auto" w:sz="4" w:space="0"/>
            </w:tcBorders>
            <w:noWrap/>
            <w:vAlign w:val="center"/>
          </w:tcPr>
          <w:p w14:paraId="014060B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K-12561</w:t>
            </w:r>
          </w:p>
        </w:tc>
        <w:tc>
          <w:tcPr>
            <w:tcW w:w="2167" w:type="dxa"/>
            <w:tcBorders>
              <w:top w:val="single" w:color="auto" w:sz="4" w:space="0"/>
              <w:left w:val="single" w:color="auto" w:sz="4" w:space="0"/>
              <w:bottom w:val="single" w:color="auto" w:sz="4" w:space="0"/>
              <w:right w:val="single" w:color="auto" w:sz="4" w:space="0"/>
            </w:tcBorders>
            <w:noWrap/>
            <w:vAlign w:val="center"/>
          </w:tcPr>
          <w:p w14:paraId="056497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HGP-B1600-2S105</w:t>
            </w:r>
          </w:p>
        </w:tc>
        <w:tc>
          <w:tcPr>
            <w:tcW w:w="1480" w:type="dxa"/>
            <w:tcBorders>
              <w:top w:val="nil"/>
              <w:left w:val="nil"/>
              <w:bottom w:val="single" w:color="auto" w:sz="4" w:space="0"/>
              <w:right w:val="single" w:color="auto" w:sz="4" w:space="0"/>
            </w:tcBorders>
            <w:noWrap/>
            <w:vAlign w:val="center"/>
          </w:tcPr>
          <w:p w14:paraId="6D5C8DA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420" w:type="dxa"/>
            <w:tcBorders>
              <w:top w:val="nil"/>
              <w:left w:val="nil"/>
              <w:bottom w:val="single" w:color="auto" w:sz="4" w:space="0"/>
              <w:right w:val="single" w:color="auto" w:sz="4" w:space="0"/>
            </w:tcBorders>
            <w:noWrap/>
            <w:vAlign w:val="center"/>
          </w:tcPr>
          <w:p w14:paraId="42546C9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1.75</w:t>
            </w:r>
          </w:p>
        </w:tc>
        <w:tc>
          <w:tcPr>
            <w:tcW w:w="1566" w:type="dxa"/>
            <w:tcBorders>
              <w:top w:val="nil"/>
              <w:left w:val="nil"/>
              <w:bottom w:val="single" w:color="auto" w:sz="4" w:space="0"/>
              <w:right w:val="single" w:color="auto" w:sz="4" w:space="0"/>
            </w:tcBorders>
            <w:shd w:val="clear" w:color="auto" w:fill="auto"/>
            <w:noWrap/>
            <w:vAlign w:val="center"/>
          </w:tcPr>
          <w:p w14:paraId="13E08D9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13层13站</w:t>
            </w:r>
          </w:p>
        </w:tc>
        <w:tc>
          <w:tcPr>
            <w:tcW w:w="1431" w:type="dxa"/>
            <w:tcBorders>
              <w:top w:val="nil"/>
              <w:left w:val="nil"/>
              <w:bottom w:val="single" w:color="auto" w:sz="4" w:space="0"/>
              <w:right w:val="single" w:color="auto" w:sz="4" w:space="0"/>
            </w:tcBorders>
            <w:noWrap/>
            <w:vAlign w:val="center"/>
          </w:tcPr>
          <w:p w14:paraId="5ED9D6E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集选</w:t>
            </w:r>
          </w:p>
        </w:tc>
      </w:tr>
    </w:tbl>
    <w:p w14:paraId="48A90FA8">
      <w:pPr>
        <w:keepNext w:val="0"/>
        <w:keepLines w:val="0"/>
        <w:pageBreakBefore w:val="0"/>
        <w:tabs>
          <w:tab w:val="left" w:pos="616"/>
        </w:tabs>
        <w:kinsoku/>
        <w:wordWrap/>
        <w:overflowPunct/>
        <w:topLinePunct w:val="0"/>
        <w:bidi w:val="0"/>
        <w:snapToGrid/>
        <w:spacing w:beforeLines="20" w:line="360" w:lineRule="auto"/>
        <w:rPr>
          <w:rFonts w:ascii="宋体" w:hAnsi="宋体"/>
          <w:sz w:val="24"/>
        </w:rPr>
      </w:pPr>
      <w:r>
        <w:rPr>
          <w:rFonts w:hint="eastAsia" w:ascii="宋体" w:hAnsi="宋体"/>
          <w:sz w:val="24"/>
        </w:rPr>
        <w:t>3、肿瘤综合楼（1台）</w:t>
      </w:r>
    </w:p>
    <w:tbl>
      <w:tblPr>
        <w:tblStyle w:val="21"/>
        <w:tblW w:w="10431" w:type="dxa"/>
        <w:jc w:val="center"/>
        <w:tblLayout w:type="fixed"/>
        <w:tblCellMar>
          <w:top w:w="0" w:type="dxa"/>
          <w:left w:w="108" w:type="dxa"/>
          <w:bottom w:w="0" w:type="dxa"/>
          <w:right w:w="108" w:type="dxa"/>
        </w:tblCellMar>
      </w:tblPr>
      <w:tblGrid>
        <w:gridCol w:w="1101"/>
        <w:gridCol w:w="1733"/>
        <w:gridCol w:w="2133"/>
        <w:gridCol w:w="1500"/>
        <w:gridCol w:w="1517"/>
        <w:gridCol w:w="1331"/>
        <w:gridCol w:w="1116"/>
      </w:tblGrid>
      <w:tr w14:paraId="2D9A06E9">
        <w:tblPrEx>
          <w:tblCellMar>
            <w:top w:w="0" w:type="dxa"/>
            <w:left w:w="108" w:type="dxa"/>
            <w:bottom w:w="0" w:type="dxa"/>
            <w:right w:w="108" w:type="dxa"/>
          </w:tblCellMar>
        </w:tblPrEx>
        <w:trPr>
          <w:trHeight w:val="402" w:hRule="atLeast"/>
          <w:jc w:val="center"/>
        </w:trPr>
        <w:tc>
          <w:tcPr>
            <w:tcW w:w="1101" w:type="dxa"/>
            <w:tcBorders>
              <w:top w:val="single" w:color="auto" w:sz="4" w:space="0"/>
              <w:left w:val="single" w:color="auto" w:sz="4" w:space="0"/>
              <w:bottom w:val="single" w:color="auto" w:sz="4" w:space="0"/>
              <w:right w:val="single" w:color="auto" w:sz="4" w:space="0"/>
            </w:tcBorders>
            <w:noWrap/>
            <w:vAlign w:val="center"/>
          </w:tcPr>
          <w:p w14:paraId="5157A36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Cs w:val="28"/>
                <w:lang w:val="en-US" w:eastAsia="zh-CN"/>
              </w:rPr>
            </w:pPr>
            <w:r>
              <w:rPr>
                <w:rFonts w:hint="eastAsia" w:ascii="宋体" w:hAnsi="宋体" w:cs="宋体"/>
                <w:kern w:val="0"/>
                <w:szCs w:val="28"/>
                <w:lang w:val="en-US" w:eastAsia="zh-CN"/>
              </w:rPr>
              <w:t>梯号</w:t>
            </w:r>
          </w:p>
        </w:tc>
        <w:tc>
          <w:tcPr>
            <w:tcW w:w="1733" w:type="dxa"/>
            <w:tcBorders>
              <w:top w:val="single" w:color="auto" w:sz="4" w:space="0"/>
              <w:left w:val="single" w:color="auto" w:sz="4" w:space="0"/>
              <w:bottom w:val="single" w:color="auto" w:sz="4" w:space="0"/>
              <w:right w:val="single" w:color="auto" w:sz="4" w:space="0"/>
            </w:tcBorders>
            <w:noWrap/>
            <w:vAlign w:val="center"/>
          </w:tcPr>
          <w:p w14:paraId="39AE006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Cs w:val="28"/>
              </w:rPr>
            </w:pPr>
            <w:r>
              <w:rPr>
                <w:rFonts w:hint="eastAsia" w:ascii="宋体" w:hAnsi="宋体" w:cs="宋体"/>
                <w:kern w:val="0"/>
                <w:szCs w:val="28"/>
              </w:rPr>
              <w:t>单位内部编号</w:t>
            </w:r>
          </w:p>
        </w:tc>
        <w:tc>
          <w:tcPr>
            <w:tcW w:w="2133" w:type="dxa"/>
            <w:tcBorders>
              <w:top w:val="single" w:color="auto" w:sz="4" w:space="0"/>
              <w:left w:val="nil"/>
              <w:bottom w:val="single" w:color="auto" w:sz="4" w:space="0"/>
              <w:right w:val="single" w:color="auto" w:sz="4" w:space="0"/>
            </w:tcBorders>
            <w:noWrap/>
            <w:vAlign w:val="center"/>
          </w:tcPr>
          <w:p w14:paraId="50D8C18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Cs w:val="28"/>
              </w:rPr>
            </w:pPr>
            <w:r>
              <w:rPr>
                <w:rFonts w:hint="eastAsia" w:ascii="宋体" w:hAnsi="宋体" w:cs="宋体"/>
                <w:kern w:val="0"/>
                <w:szCs w:val="28"/>
              </w:rPr>
              <w:t>型号</w:t>
            </w:r>
          </w:p>
        </w:tc>
        <w:tc>
          <w:tcPr>
            <w:tcW w:w="1500" w:type="dxa"/>
            <w:tcBorders>
              <w:top w:val="single" w:color="auto" w:sz="4" w:space="0"/>
              <w:left w:val="nil"/>
              <w:bottom w:val="single" w:color="auto" w:sz="4" w:space="0"/>
              <w:right w:val="single" w:color="auto" w:sz="4" w:space="0"/>
            </w:tcBorders>
            <w:noWrap/>
            <w:vAlign w:val="center"/>
          </w:tcPr>
          <w:p w14:paraId="040B239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kern w:val="0"/>
                <w:szCs w:val="28"/>
              </w:rPr>
            </w:pPr>
            <w:r>
              <w:rPr>
                <w:rFonts w:hint="eastAsia" w:ascii="宋体" w:hAnsi="宋体"/>
                <w:szCs w:val="21"/>
              </w:rPr>
              <w:t>额定载重量（KG）</w:t>
            </w:r>
          </w:p>
        </w:tc>
        <w:tc>
          <w:tcPr>
            <w:tcW w:w="1517" w:type="dxa"/>
            <w:tcBorders>
              <w:top w:val="single" w:color="auto" w:sz="4" w:space="0"/>
              <w:left w:val="nil"/>
              <w:bottom w:val="single" w:color="auto" w:sz="4" w:space="0"/>
              <w:right w:val="single" w:color="auto" w:sz="4" w:space="0"/>
            </w:tcBorders>
            <w:noWrap/>
            <w:vAlign w:val="center"/>
          </w:tcPr>
          <w:p w14:paraId="5980DD5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Cs w:val="28"/>
                <w:lang w:eastAsia="zh-CN"/>
              </w:rPr>
            </w:pPr>
            <w:r>
              <w:rPr>
                <w:rFonts w:hint="eastAsia" w:ascii="宋体" w:hAnsi="宋体" w:cs="宋体"/>
                <w:kern w:val="0"/>
                <w:szCs w:val="28"/>
                <w:lang w:val="en-US" w:eastAsia="zh-CN"/>
              </w:rPr>
              <w:t>额定</w:t>
            </w:r>
            <w:r>
              <w:rPr>
                <w:rFonts w:hint="eastAsia" w:ascii="宋体" w:hAnsi="宋体" w:cs="宋体"/>
                <w:kern w:val="0"/>
                <w:szCs w:val="28"/>
              </w:rPr>
              <w:t>速度</w:t>
            </w:r>
            <w:r>
              <w:rPr>
                <w:rFonts w:hint="eastAsia" w:ascii="宋体" w:hAnsi="宋体" w:cs="宋体"/>
                <w:kern w:val="0"/>
                <w:szCs w:val="28"/>
                <w:lang w:eastAsia="zh-CN"/>
              </w:rPr>
              <w:t>（</w:t>
            </w:r>
            <w:r>
              <w:rPr>
                <w:rFonts w:hint="eastAsia" w:ascii="宋体" w:hAnsi="宋体" w:cs="宋体"/>
                <w:kern w:val="0"/>
                <w:sz w:val="24"/>
              </w:rPr>
              <w:t>m/s</w:t>
            </w:r>
            <w:r>
              <w:rPr>
                <w:rFonts w:hint="eastAsia" w:ascii="宋体" w:hAnsi="宋体" w:cs="宋体"/>
                <w:kern w:val="0"/>
                <w:szCs w:val="28"/>
                <w:lang w:eastAsia="zh-CN"/>
              </w:rPr>
              <w:t>）</w:t>
            </w:r>
          </w:p>
        </w:tc>
        <w:tc>
          <w:tcPr>
            <w:tcW w:w="1331" w:type="dxa"/>
            <w:tcBorders>
              <w:top w:val="single" w:color="auto" w:sz="4" w:space="0"/>
              <w:left w:val="nil"/>
              <w:bottom w:val="single" w:color="auto" w:sz="4" w:space="0"/>
              <w:right w:val="single" w:color="auto" w:sz="4" w:space="0"/>
            </w:tcBorders>
            <w:shd w:val="clear" w:color="auto" w:fill="auto"/>
            <w:noWrap/>
            <w:vAlign w:val="center"/>
          </w:tcPr>
          <w:p w14:paraId="509C5D3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1"/>
                <w:szCs w:val="28"/>
                <w:lang w:val="en-US" w:eastAsia="zh-CN" w:bidi="ar-SA"/>
              </w:rPr>
            </w:pPr>
            <w:r>
              <w:rPr>
                <w:rFonts w:hint="eastAsia" w:ascii="宋体" w:hAnsi="宋体"/>
                <w:szCs w:val="21"/>
              </w:rPr>
              <w:t>层站数</w:t>
            </w:r>
          </w:p>
        </w:tc>
        <w:tc>
          <w:tcPr>
            <w:tcW w:w="1116" w:type="dxa"/>
            <w:tcBorders>
              <w:top w:val="single" w:color="auto" w:sz="4" w:space="0"/>
              <w:left w:val="nil"/>
              <w:bottom w:val="single" w:color="auto" w:sz="4" w:space="0"/>
              <w:right w:val="single" w:color="auto" w:sz="4" w:space="0"/>
            </w:tcBorders>
            <w:noWrap/>
            <w:vAlign w:val="center"/>
          </w:tcPr>
          <w:p w14:paraId="44FF400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Cs w:val="28"/>
                <w:lang w:val="en-US" w:eastAsia="zh-CN"/>
              </w:rPr>
            </w:pPr>
            <w:r>
              <w:rPr>
                <w:rFonts w:hint="eastAsia" w:ascii="宋体" w:hAnsi="宋体" w:cs="宋体"/>
                <w:kern w:val="0"/>
                <w:szCs w:val="28"/>
                <w:lang w:val="en-US" w:eastAsia="zh-CN"/>
              </w:rPr>
              <w:t>控制方式</w:t>
            </w:r>
          </w:p>
        </w:tc>
      </w:tr>
      <w:tr w14:paraId="7922A6E5">
        <w:tblPrEx>
          <w:tblCellMar>
            <w:top w:w="0" w:type="dxa"/>
            <w:left w:w="108" w:type="dxa"/>
            <w:bottom w:w="0" w:type="dxa"/>
            <w:right w:w="108" w:type="dxa"/>
          </w:tblCellMar>
        </w:tblPrEx>
        <w:trPr>
          <w:trHeight w:val="402" w:hRule="atLeast"/>
          <w:jc w:val="center"/>
        </w:trPr>
        <w:tc>
          <w:tcPr>
            <w:tcW w:w="1101" w:type="dxa"/>
            <w:tcBorders>
              <w:top w:val="single" w:color="auto" w:sz="4" w:space="0"/>
              <w:left w:val="single" w:color="auto" w:sz="4" w:space="0"/>
              <w:bottom w:val="single" w:color="auto" w:sz="4" w:space="0"/>
              <w:right w:val="single" w:color="auto" w:sz="4" w:space="0"/>
            </w:tcBorders>
            <w:noWrap/>
            <w:vAlign w:val="center"/>
          </w:tcPr>
          <w:p w14:paraId="34C465C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w:t>
            </w:r>
          </w:p>
        </w:tc>
        <w:tc>
          <w:tcPr>
            <w:tcW w:w="1733" w:type="dxa"/>
            <w:tcBorders>
              <w:top w:val="single" w:color="auto" w:sz="4" w:space="0"/>
              <w:left w:val="single" w:color="auto" w:sz="4" w:space="0"/>
              <w:bottom w:val="single" w:color="auto" w:sz="4" w:space="0"/>
              <w:right w:val="single" w:color="auto" w:sz="4" w:space="0"/>
            </w:tcBorders>
            <w:noWrap/>
            <w:vAlign w:val="center"/>
          </w:tcPr>
          <w:p w14:paraId="482D4AE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K-20161</w:t>
            </w:r>
          </w:p>
        </w:tc>
        <w:tc>
          <w:tcPr>
            <w:tcW w:w="2133" w:type="dxa"/>
            <w:tcBorders>
              <w:top w:val="nil"/>
              <w:left w:val="nil"/>
              <w:bottom w:val="single" w:color="auto" w:sz="4" w:space="0"/>
              <w:right w:val="single" w:color="auto" w:sz="4" w:space="0"/>
            </w:tcBorders>
            <w:noWrap/>
            <w:vAlign w:val="center"/>
          </w:tcPr>
          <w:p w14:paraId="72C86F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TKB1600/1.6-JXW</w:t>
            </w:r>
          </w:p>
        </w:tc>
        <w:tc>
          <w:tcPr>
            <w:tcW w:w="1500" w:type="dxa"/>
            <w:tcBorders>
              <w:top w:val="nil"/>
              <w:left w:val="nil"/>
              <w:bottom w:val="single" w:color="auto" w:sz="4" w:space="0"/>
              <w:right w:val="single" w:color="auto" w:sz="4" w:space="0"/>
            </w:tcBorders>
            <w:noWrap/>
            <w:vAlign w:val="center"/>
          </w:tcPr>
          <w:p w14:paraId="64F657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1600</w:t>
            </w:r>
          </w:p>
        </w:tc>
        <w:tc>
          <w:tcPr>
            <w:tcW w:w="1517" w:type="dxa"/>
            <w:tcBorders>
              <w:top w:val="nil"/>
              <w:left w:val="nil"/>
              <w:bottom w:val="single" w:color="auto" w:sz="4" w:space="0"/>
              <w:right w:val="single" w:color="auto" w:sz="4" w:space="0"/>
            </w:tcBorders>
            <w:noWrap/>
            <w:vAlign w:val="center"/>
          </w:tcPr>
          <w:p w14:paraId="4461845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kern w:val="0"/>
                <w:sz w:val="24"/>
              </w:rPr>
            </w:pPr>
            <w:r>
              <w:rPr>
                <w:rFonts w:hint="eastAsia" w:ascii="宋体" w:hAnsi="宋体" w:cs="宋体"/>
                <w:kern w:val="0"/>
                <w:sz w:val="24"/>
              </w:rPr>
              <w:t>1.6</w:t>
            </w:r>
          </w:p>
        </w:tc>
        <w:tc>
          <w:tcPr>
            <w:tcW w:w="1331" w:type="dxa"/>
            <w:tcBorders>
              <w:top w:val="nil"/>
              <w:left w:val="nil"/>
              <w:bottom w:val="single" w:color="auto" w:sz="4" w:space="0"/>
              <w:right w:val="single" w:color="auto" w:sz="4" w:space="0"/>
            </w:tcBorders>
            <w:shd w:val="clear" w:color="auto" w:fill="auto"/>
            <w:noWrap/>
            <w:vAlign w:val="center"/>
          </w:tcPr>
          <w:p w14:paraId="4943DAE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4层4站</w:t>
            </w:r>
          </w:p>
        </w:tc>
        <w:tc>
          <w:tcPr>
            <w:tcW w:w="1116" w:type="dxa"/>
            <w:tcBorders>
              <w:top w:val="nil"/>
              <w:left w:val="nil"/>
              <w:bottom w:val="single" w:color="auto" w:sz="4" w:space="0"/>
              <w:right w:val="single" w:color="auto" w:sz="4" w:space="0"/>
            </w:tcBorders>
            <w:noWrap/>
            <w:vAlign w:val="center"/>
          </w:tcPr>
          <w:p w14:paraId="1D8E03D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集选</w:t>
            </w:r>
          </w:p>
        </w:tc>
      </w:tr>
    </w:tbl>
    <w:p w14:paraId="00124C27">
      <w:pPr>
        <w:keepNext w:val="0"/>
        <w:keepLines w:val="0"/>
        <w:pageBreakBefore w:val="0"/>
        <w:tabs>
          <w:tab w:val="left" w:pos="616"/>
        </w:tabs>
        <w:kinsoku/>
        <w:wordWrap/>
        <w:overflowPunct/>
        <w:topLinePunct w:val="0"/>
        <w:bidi w:val="0"/>
        <w:snapToGrid/>
        <w:spacing w:beforeLines="20" w:line="360" w:lineRule="auto"/>
        <w:rPr>
          <w:rFonts w:hint="default" w:ascii="宋体" w:hAnsi="宋体" w:eastAsia="宋体"/>
          <w:sz w:val="24"/>
          <w:lang w:val="en-US" w:eastAsia="zh-CN"/>
        </w:rPr>
      </w:pPr>
      <w:r>
        <w:rPr>
          <w:rFonts w:hint="eastAsia" w:ascii="宋体" w:hAnsi="宋体"/>
          <w:sz w:val="24"/>
        </w:rPr>
        <w:t>4、内科楼（</w:t>
      </w:r>
      <w:r>
        <w:rPr>
          <w:rFonts w:hint="eastAsia" w:ascii="宋体" w:hAnsi="宋体"/>
          <w:sz w:val="24"/>
          <w:lang w:val="en-US" w:eastAsia="zh-CN"/>
        </w:rPr>
        <w:t>7</w:t>
      </w:r>
      <w:r>
        <w:rPr>
          <w:rFonts w:hint="eastAsia" w:ascii="宋体" w:hAnsi="宋体"/>
          <w:sz w:val="24"/>
        </w:rPr>
        <w:t>台）</w:t>
      </w:r>
    </w:p>
    <w:tbl>
      <w:tblPr>
        <w:tblStyle w:val="21"/>
        <w:tblW w:w="102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72"/>
        <w:gridCol w:w="1483"/>
        <w:gridCol w:w="2100"/>
        <w:gridCol w:w="1506"/>
        <w:gridCol w:w="1428"/>
        <w:gridCol w:w="1533"/>
        <w:gridCol w:w="1217"/>
      </w:tblGrid>
      <w:tr w14:paraId="6B86DA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972" w:type="dxa"/>
            <w:vAlign w:val="center"/>
          </w:tcPr>
          <w:p w14:paraId="032117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Cs w:val="28"/>
                <w:lang w:val="en-US" w:eastAsia="zh-CN"/>
              </w:rPr>
            </w:pPr>
            <w:r>
              <w:rPr>
                <w:rFonts w:hint="eastAsia" w:ascii="宋体" w:hAnsi="宋体" w:cs="宋体"/>
                <w:kern w:val="0"/>
                <w:szCs w:val="28"/>
                <w:lang w:val="en-US" w:eastAsia="zh-CN"/>
              </w:rPr>
              <w:t>梯号</w:t>
            </w:r>
          </w:p>
        </w:tc>
        <w:tc>
          <w:tcPr>
            <w:tcW w:w="1483" w:type="dxa"/>
            <w:vAlign w:val="center"/>
          </w:tcPr>
          <w:p w14:paraId="54BE48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cs="宋体"/>
                <w:kern w:val="0"/>
                <w:szCs w:val="28"/>
              </w:rPr>
              <w:t>单位内部编号</w:t>
            </w:r>
          </w:p>
        </w:tc>
        <w:tc>
          <w:tcPr>
            <w:tcW w:w="2100" w:type="dxa"/>
            <w:vAlign w:val="center"/>
          </w:tcPr>
          <w:p w14:paraId="7E9D80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Cs w:val="28"/>
                <w:lang w:val="en-US" w:eastAsia="zh-CN"/>
              </w:rPr>
            </w:pPr>
            <w:r>
              <w:rPr>
                <w:rFonts w:hint="eastAsia" w:ascii="宋体" w:hAnsi="宋体" w:cs="宋体"/>
                <w:kern w:val="0"/>
                <w:szCs w:val="28"/>
                <w:lang w:val="en-US" w:eastAsia="zh-CN"/>
              </w:rPr>
              <w:t>型号</w:t>
            </w:r>
          </w:p>
        </w:tc>
        <w:tc>
          <w:tcPr>
            <w:tcW w:w="1506" w:type="dxa"/>
            <w:vAlign w:val="center"/>
          </w:tcPr>
          <w:p w14:paraId="741E42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额定载重量（KG）</w:t>
            </w:r>
          </w:p>
        </w:tc>
        <w:tc>
          <w:tcPr>
            <w:tcW w:w="1428" w:type="dxa"/>
            <w:vAlign w:val="center"/>
          </w:tcPr>
          <w:p w14:paraId="6E2774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额定速度（</w:t>
            </w:r>
            <w:r>
              <w:rPr>
                <w:rFonts w:ascii="宋体" w:hAnsi="宋体"/>
                <w:szCs w:val="21"/>
              </w:rPr>
              <w:t>m/s</w:t>
            </w:r>
            <w:r>
              <w:rPr>
                <w:rFonts w:hint="eastAsia" w:ascii="宋体" w:hAnsi="宋体"/>
                <w:szCs w:val="21"/>
              </w:rPr>
              <w:t>）</w:t>
            </w:r>
          </w:p>
        </w:tc>
        <w:tc>
          <w:tcPr>
            <w:tcW w:w="1533" w:type="dxa"/>
            <w:vAlign w:val="center"/>
          </w:tcPr>
          <w:p w14:paraId="5C8E3E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层站数</w:t>
            </w:r>
          </w:p>
        </w:tc>
        <w:tc>
          <w:tcPr>
            <w:tcW w:w="1217" w:type="dxa"/>
            <w:vAlign w:val="center"/>
          </w:tcPr>
          <w:p w14:paraId="2E70FA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控制方式</w:t>
            </w:r>
          </w:p>
        </w:tc>
      </w:tr>
      <w:tr w14:paraId="00732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972" w:type="dxa"/>
            <w:vAlign w:val="center"/>
          </w:tcPr>
          <w:p w14:paraId="2DDCEE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1#</w:t>
            </w:r>
          </w:p>
        </w:tc>
        <w:tc>
          <w:tcPr>
            <w:tcW w:w="1483" w:type="dxa"/>
            <w:vAlign w:val="center"/>
          </w:tcPr>
          <w:p w14:paraId="45F193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K-14409</w:t>
            </w:r>
          </w:p>
        </w:tc>
        <w:tc>
          <w:tcPr>
            <w:tcW w:w="2100" w:type="dxa"/>
            <w:vAlign w:val="center"/>
          </w:tcPr>
          <w:p w14:paraId="3ED1BA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rPr>
            </w:pPr>
            <w:r>
              <w:rPr>
                <w:rFonts w:hint="eastAsia" w:ascii="宋体" w:hAnsi="宋体" w:cs="宋体"/>
                <w:kern w:val="0"/>
                <w:sz w:val="24"/>
              </w:rPr>
              <w:t>HGP-B1600-2S105</w:t>
            </w:r>
          </w:p>
        </w:tc>
        <w:tc>
          <w:tcPr>
            <w:tcW w:w="1506" w:type="dxa"/>
            <w:vAlign w:val="center"/>
          </w:tcPr>
          <w:p w14:paraId="342003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w:t>
            </w:r>
            <w:r>
              <w:rPr>
                <w:rFonts w:hint="eastAsia" w:ascii="宋体" w:hAnsi="宋体"/>
                <w:sz w:val="24"/>
                <w:lang w:val="en-US" w:eastAsia="zh-CN"/>
              </w:rPr>
              <w:t>600</w:t>
            </w:r>
          </w:p>
        </w:tc>
        <w:tc>
          <w:tcPr>
            <w:tcW w:w="1428" w:type="dxa"/>
            <w:vAlign w:val="center"/>
          </w:tcPr>
          <w:p w14:paraId="4A0426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w:t>
            </w:r>
            <w:r>
              <w:rPr>
                <w:rFonts w:hint="eastAsia" w:ascii="宋体" w:hAnsi="宋体"/>
                <w:sz w:val="24"/>
                <w:lang w:val="en-US" w:eastAsia="zh-CN"/>
              </w:rPr>
              <w:t>75</w:t>
            </w:r>
          </w:p>
        </w:tc>
        <w:tc>
          <w:tcPr>
            <w:tcW w:w="1533" w:type="dxa"/>
            <w:vAlign w:val="center"/>
          </w:tcPr>
          <w:p w14:paraId="127ACF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sz w:val="24"/>
                <w:lang w:val="en-US" w:eastAsia="zh-CN"/>
              </w:rPr>
            </w:pPr>
            <w:r>
              <w:rPr>
                <w:rFonts w:hint="eastAsia" w:ascii="宋体" w:hAnsi="宋体"/>
                <w:sz w:val="24"/>
              </w:rPr>
              <w:t>11</w:t>
            </w:r>
            <w:r>
              <w:rPr>
                <w:rFonts w:hint="eastAsia" w:ascii="宋体" w:hAnsi="宋体"/>
                <w:sz w:val="24"/>
                <w:lang w:val="en-US" w:eastAsia="zh-CN"/>
              </w:rPr>
              <w:t>层</w:t>
            </w:r>
            <w:r>
              <w:rPr>
                <w:rFonts w:hint="eastAsia" w:ascii="宋体" w:hAnsi="宋体"/>
                <w:sz w:val="24"/>
              </w:rPr>
              <w:t>11</w:t>
            </w:r>
            <w:r>
              <w:rPr>
                <w:rFonts w:hint="eastAsia" w:ascii="宋体" w:hAnsi="宋体"/>
                <w:sz w:val="24"/>
                <w:lang w:val="en-US" w:eastAsia="zh-CN"/>
              </w:rPr>
              <w:t>站</w:t>
            </w:r>
          </w:p>
        </w:tc>
        <w:tc>
          <w:tcPr>
            <w:tcW w:w="1217" w:type="dxa"/>
            <w:vAlign w:val="center"/>
          </w:tcPr>
          <w:p w14:paraId="335C1E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集选</w:t>
            </w:r>
          </w:p>
        </w:tc>
      </w:tr>
      <w:tr w14:paraId="08604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972" w:type="dxa"/>
            <w:vAlign w:val="center"/>
          </w:tcPr>
          <w:p w14:paraId="326B76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2#</w:t>
            </w:r>
          </w:p>
        </w:tc>
        <w:tc>
          <w:tcPr>
            <w:tcW w:w="1483" w:type="dxa"/>
            <w:vAlign w:val="center"/>
          </w:tcPr>
          <w:p w14:paraId="4D87E44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K-14410</w:t>
            </w:r>
          </w:p>
        </w:tc>
        <w:tc>
          <w:tcPr>
            <w:tcW w:w="2100" w:type="dxa"/>
            <w:vAlign w:val="center"/>
          </w:tcPr>
          <w:p w14:paraId="584E7A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rPr>
            </w:pPr>
            <w:r>
              <w:rPr>
                <w:rFonts w:hint="eastAsia" w:ascii="宋体" w:hAnsi="宋体" w:cs="宋体"/>
                <w:kern w:val="0"/>
                <w:sz w:val="24"/>
              </w:rPr>
              <w:t>HGP-B1600-2S105</w:t>
            </w:r>
          </w:p>
        </w:tc>
        <w:tc>
          <w:tcPr>
            <w:tcW w:w="1506" w:type="dxa"/>
            <w:vAlign w:val="center"/>
          </w:tcPr>
          <w:p w14:paraId="16FF80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1600</w:t>
            </w:r>
          </w:p>
        </w:tc>
        <w:tc>
          <w:tcPr>
            <w:tcW w:w="1428" w:type="dxa"/>
            <w:vAlign w:val="center"/>
          </w:tcPr>
          <w:p w14:paraId="6CCFD5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1.75</w:t>
            </w:r>
          </w:p>
        </w:tc>
        <w:tc>
          <w:tcPr>
            <w:tcW w:w="1533" w:type="dxa"/>
            <w:vAlign w:val="center"/>
          </w:tcPr>
          <w:p w14:paraId="4A24F3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11</w:t>
            </w:r>
            <w:r>
              <w:rPr>
                <w:rFonts w:hint="eastAsia" w:ascii="宋体" w:hAnsi="宋体"/>
                <w:sz w:val="24"/>
                <w:lang w:val="en-US" w:eastAsia="zh-CN"/>
              </w:rPr>
              <w:t>层</w:t>
            </w:r>
            <w:r>
              <w:rPr>
                <w:rFonts w:hint="eastAsia" w:ascii="宋体" w:hAnsi="宋体"/>
                <w:sz w:val="24"/>
              </w:rPr>
              <w:t>11</w:t>
            </w:r>
            <w:r>
              <w:rPr>
                <w:rFonts w:hint="eastAsia" w:ascii="宋体" w:hAnsi="宋体"/>
                <w:sz w:val="24"/>
                <w:lang w:val="en-US" w:eastAsia="zh-CN"/>
              </w:rPr>
              <w:t>站</w:t>
            </w:r>
          </w:p>
        </w:tc>
        <w:tc>
          <w:tcPr>
            <w:tcW w:w="1217" w:type="dxa"/>
            <w:vAlign w:val="center"/>
          </w:tcPr>
          <w:p w14:paraId="20EF21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集选</w:t>
            </w:r>
          </w:p>
        </w:tc>
      </w:tr>
      <w:tr w14:paraId="760D5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972" w:type="dxa"/>
            <w:vAlign w:val="center"/>
          </w:tcPr>
          <w:p w14:paraId="5B7D56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3#</w:t>
            </w:r>
          </w:p>
        </w:tc>
        <w:tc>
          <w:tcPr>
            <w:tcW w:w="1483" w:type="dxa"/>
            <w:vAlign w:val="center"/>
          </w:tcPr>
          <w:p w14:paraId="514F1A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K-14411</w:t>
            </w:r>
          </w:p>
        </w:tc>
        <w:tc>
          <w:tcPr>
            <w:tcW w:w="2100" w:type="dxa"/>
            <w:vAlign w:val="center"/>
          </w:tcPr>
          <w:p w14:paraId="266FF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rPr>
            </w:pPr>
            <w:r>
              <w:rPr>
                <w:rFonts w:hint="eastAsia" w:ascii="宋体" w:hAnsi="宋体" w:cs="宋体"/>
                <w:kern w:val="0"/>
                <w:sz w:val="24"/>
              </w:rPr>
              <w:t>HGP-B1600-2S105</w:t>
            </w:r>
          </w:p>
        </w:tc>
        <w:tc>
          <w:tcPr>
            <w:tcW w:w="1506" w:type="dxa"/>
            <w:vAlign w:val="center"/>
          </w:tcPr>
          <w:p w14:paraId="477120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1600</w:t>
            </w:r>
          </w:p>
        </w:tc>
        <w:tc>
          <w:tcPr>
            <w:tcW w:w="1428" w:type="dxa"/>
            <w:vAlign w:val="center"/>
          </w:tcPr>
          <w:p w14:paraId="58C95E1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1.75</w:t>
            </w:r>
          </w:p>
        </w:tc>
        <w:tc>
          <w:tcPr>
            <w:tcW w:w="1533" w:type="dxa"/>
            <w:vAlign w:val="center"/>
          </w:tcPr>
          <w:p w14:paraId="5A9199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11</w:t>
            </w:r>
            <w:r>
              <w:rPr>
                <w:rFonts w:hint="eastAsia" w:ascii="宋体" w:hAnsi="宋体"/>
                <w:sz w:val="24"/>
                <w:lang w:val="en-US" w:eastAsia="zh-CN"/>
              </w:rPr>
              <w:t>层</w:t>
            </w:r>
            <w:r>
              <w:rPr>
                <w:rFonts w:hint="eastAsia" w:ascii="宋体" w:hAnsi="宋体"/>
                <w:sz w:val="24"/>
              </w:rPr>
              <w:t>11</w:t>
            </w:r>
            <w:r>
              <w:rPr>
                <w:rFonts w:hint="eastAsia" w:ascii="宋体" w:hAnsi="宋体"/>
                <w:sz w:val="24"/>
                <w:lang w:val="en-US" w:eastAsia="zh-CN"/>
              </w:rPr>
              <w:t>站</w:t>
            </w:r>
          </w:p>
        </w:tc>
        <w:tc>
          <w:tcPr>
            <w:tcW w:w="1217" w:type="dxa"/>
            <w:vAlign w:val="center"/>
          </w:tcPr>
          <w:p w14:paraId="42C6DC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集选</w:t>
            </w:r>
          </w:p>
        </w:tc>
      </w:tr>
      <w:tr w14:paraId="3F353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972" w:type="dxa"/>
            <w:vAlign w:val="center"/>
          </w:tcPr>
          <w:p w14:paraId="099FC4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4#</w:t>
            </w:r>
          </w:p>
        </w:tc>
        <w:tc>
          <w:tcPr>
            <w:tcW w:w="1483" w:type="dxa"/>
            <w:vAlign w:val="center"/>
          </w:tcPr>
          <w:p w14:paraId="1794D4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K-14412</w:t>
            </w:r>
          </w:p>
        </w:tc>
        <w:tc>
          <w:tcPr>
            <w:tcW w:w="2100" w:type="dxa"/>
            <w:vAlign w:val="center"/>
          </w:tcPr>
          <w:p w14:paraId="2A3D50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rPr>
            </w:pPr>
            <w:r>
              <w:rPr>
                <w:rFonts w:hint="eastAsia" w:ascii="宋体" w:hAnsi="宋体" w:cs="宋体"/>
                <w:kern w:val="0"/>
                <w:sz w:val="24"/>
              </w:rPr>
              <w:t>HGP-1050-C0105</w:t>
            </w:r>
          </w:p>
        </w:tc>
        <w:tc>
          <w:tcPr>
            <w:tcW w:w="1506" w:type="dxa"/>
            <w:vAlign w:val="center"/>
          </w:tcPr>
          <w:p w14:paraId="23AD39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w:t>
            </w:r>
            <w:r>
              <w:rPr>
                <w:rFonts w:hint="eastAsia" w:ascii="宋体" w:hAnsi="宋体"/>
                <w:sz w:val="24"/>
                <w:lang w:val="en-US" w:eastAsia="zh-CN"/>
              </w:rPr>
              <w:t>050</w:t>
            </w:r>
          </w:p>
        </w:tc>
        <w:tc>
          <w:tcPr>
            <w:tcW w:w="1428" w:type="dxa"/>
            <w:vAlign w:val="center"/>
          </w:tcPr>
          <w:p w14:paraId="6D5DC94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1.75</w:t>
            </w:r>
          </w:p>
        </w:tc>
        <w:tc>
          <w:tcPr>
            <w:tcW w:w="1533" w:type="dxa"/>
            <w:vAlign w:val="center"/>
          </w:tcPr>
          <w:p w14:paraId="0CACB94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11</w:t>
            </w:r>
            <w:r>
              <w:rPr>
                <w:rFonts w:hint="eastAsia" w:ascii="宋体" w:hAnsi="宋体"/>
                <w:sz w:val="24"/>
                <w:lang w:val="en-US" w:eastAsia="zh-CN"/>
              </w:rPr>
              <w:t>层</w:t>
            </w:r>
            <w:r>
              <w:rPr>
                <w:rFonts w:hint="eastAsia" w:ascii="宋体" w:hAnsi="宋体"/>
                <w:sz w:val="24"/>
              </w:rPr>
              <w:t>11</w:t>
            </w:r>
            <w:r>
              <w:rPr>
                <w:rFonts w:hint="eastAsia" w:ascii="宋体" w:hAnsi="宋体"/>
                <w:sz w:val="24"/>
                <w:lang w:val="en-US" w:eastAsia="zh-CN"/>
              </w:rPr>
              <w:t>站</w:t>
            </w:r>
          </w:p>
        </w:tc>
        <w:tc>
          <w:tcPr>
            <w:tcW w:w="1217" w:type="dxa"/>
            <w:vAlign w:val="center"/>
          </w:tcPr>
          <w:p w14:paraId="786155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集选</w:t>
            </w:r>
          </w:p>
        </w:tc>
      </w:tr>
      <w:tr w14:paraId="0D5A5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972" w:type="dxa"/>
            <w:vAlign w:val="center"/>
          </w:tcPr>
          <w:p w14:paraId="2D2765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5#</w:t>
            </w:r>
          </w:p>
        </w:tc>
        <w:tc>
          <w:tcPr>
            <w:tcW w:w="1483" w:type="dxa"/>
            <w:vAlign w:val="center"/>
          </w:tcPr>
          <w:p w14:paraId="6C12AF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K-14413</w:t>
            </w:r>
          </w:p>
        </w:tc>
        <w:tc>
          <w:tcPr>
            <w:tcW w:w="2100" w:type="dxa"/>
            <w:vAlign w:val="center"/>
          </w:tcPr>
          <w:p w14:paraId="1CB33E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rPr>
            </w:pPr>
            <w:r>
              <w:rPr>
                <w:rFonts w:hint="eastAsia" w:ascii="宋体" w:hAnsi="宋体" w:cs="宋体"/>
                <w:kern w:val="0"/>
                <w:sz w:val="24"/>
              </w:rPr>
              <w:t>HGP-1050-C0105</w:t>
            </w:r>
          </w:p>
        </w:tc>
        <w:tc>
          <w:tcPr>
            <w:tcW w:w="1506" w:type="dxa"/>
            <w:vAlign w:val="center"/>
          </w:tcPr>
          <w:p w14:paraId="33C7D1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1050</w:t>
            </w:r>
          </w:p>
        </w:tc>
        <w:tc>
          <w:tcPr>
            <w:tcW w:w="1428" w:type="dxa"/>
            <w:vAlign w:val="center"/>
          </w:tcPr>
          <w:p w14:paraId="117E78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1.75</w:t>
            </w:r>
          </w:p>
        </w:tc>
        <w:tc>
          <w:tcPr>
            <w:tcW w:w="1533" w:type="dxa"/>
            <w:vAlign w:val="center"/>
          </w:tcPr>
          <w:p w14:paraId="0E65E7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11</w:t>
            </w:r>
            <w:r>
              <w:rPr>
                <w:rFonts w:hint="eastAsia" w:ascii="宋体" w:hAnsi="宋体"/>
                <w:sz w:val="24"/>
                <w:lang w:val="en-US" w:eastAsia="zh-CN"/>
              </w:rPr>
              <w:t>层</w:t>
            </w:r>
            <w:r>
              <w:rPr>
                <w:rFonts w:hint="eastAsia" w:ascii="宋体" w:hAnsi="宋体"/>
                <w:sz w:val="24"/>
              </w:rPr>
              <w:t>11</w:t>
            </w:r>
            <w:r>
              <w:rPr>
                <w:rFonts w:hint="eastAsia" w:ascii="宋体" w:hAnsi="宋体"/>
                <w:sz w:val="24"/>
                <w:lang w:val="en-US" w:eastAsia="zh-CN"/>
              </w:rPr>
              <w:t>站</w:t>
            </w:r>
          </w:p>
        </w:tc>
        <w:tc>
          <w:tcPr>
            <w:tcW w:w="1217" w:type="dxa"/>
            <w:vAlign w:val="center"/>
          </w:tcPr>
          <w:p w14:paraId="19DA34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集选</w:t>
            </w:r>
          </w:p>
        </w:tc>
      </w:tr>
      <w:tr w14:paraId="44858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972" w:type="dxa"/>
            <w:vAlign w:val="center"/>
          </w:tcPr>
          <w:p w14:paraId="3321CA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6#</w:t>
            </w:r>
          </w:p>
        </w:tc>
        <w:tc>
          <w:tcPr>
            <w:tcW w:w="1483" w:type="dxa"/>
            <w:vAlign w:val="center"/>
          </w:tcPr>
          <w:p w14:paraId="2733B7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rPr>
            </w:pPr>
            <w:r>
              <w:rPr>
                <w:rFonts w:hint="eastAsia" w:ascii="宋体" w:hAnsi="宋体"/>
                <w:sz w:val="24"/>
              </w:rPr>
              <w:t>K-38741</w:t>
            </w:r>
          </w:p>
        </w:tc>
        <w:tc>
          <w:tcPr>
            <w:tcW w:w="2100" w:type="dxa"/>
            <w:vAlign w:val="center"/>
          </w:tcPr>
          <w:p w14:paraId="4E83FA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MCA-105-C0105</w:t>
            </w:r>
          </w:p>
        </w:tc>
        <w:tc>
          <w:tcPr>
            <w:tcW w:w="1506" w:type="dxa"/>
            <w:vAlign w:val="center"/>
          </w:tcPr>
          <w:p w14:paraId="475C06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1050</w:t>
            </w:r>
          </w:p>
        </w:tc>
        <w:tc>
          <w:tcPr>
            <w:tcW w:w="1428" w:type="dxa"/>
            <w:vAlign w:val="center"/>
          </w:tcPr>
          <w:p w14:paraId="7A2933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1.75</w:t>
            </w:r>
          </w:p>
        </w:tc>
        <w:tc>
          <w:tcPr>
            <w:tcW w:w="1533" w:type="dxa"/>
            <w:vAlign w:val="center"/>
          </w:tcPr>
          <w:p w14:paraId="766063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10层10站</w:t>
            </w:r>
          </w:p>
        </w:tc>
        <w:tc>
          <w:tcPr>
            <w:tcW w:w="1217" w:type="dxa"/>
            <w:vAlign w:val="center"/>
          </w:tcPr>
          <w:p w14:paraId="7010F6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sz w:val="24"/>
                <w:lang w:val="en-US" w:eastAsia="zh-CN"/>
              </w:rPr>
            </w:pPr>
            <w:r>
              <w:rPr>
                <w:rFonts w:hint="eastAsia" w:ascii="宋体" w:hAnsi="宋体"/>
                <w:sz w:val="24"/>
                <w:lang w:val="en-US" w:eastAsia="zh-CN"/>
              </w:rPr>
              <w:t>并联</w:t>
            </w:r>
          </w:p>
        </w:tc>
      </w:tr>
      <w:tr w14:paraId="374EF0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972" w:type="dxa"/>
            <w:vAlign w:val="center"/>
          </w:tcPr>
          <w:p w14:paraId="630684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7#</w:t>
            </w:r>
          </w:p>
        </w:tc>
        <w:tc>
          <w:tcPr>
            <w:tcW w:w="1483" w:type="dxa"/>
            <w:vAlign w:val="center"/>
          </w:tcPr>
          <w:p w14:paraId="3CC9EA4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rPr>
            </w:pPr>
            <w:r>
              <w:rPr>
                <w:rFonts w:hint="eastAsia" w:ascii="宋体" w:hAnsi="宋体"/>
                <w:sz w:val="24"/>
              </w:rPr>
              <w:t>K-38742</w:t>
            </w:r>
          </w:p>
        </w:tc>
        <w:tc>
          <w:tcPr>
            <w:tcW w:w="2100" w:type="dxa"/>
            <w:vAlign w:val="center"/>
          </w:tcPr>
          <w:p w14:paraId="7ADDA1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rPr>
            </w:pPr>
            <w:r>
              <w:rPr>
                <w:rFonts w:hint="eastAsia" w:ascii="宋体" w:hAnsi="宋体"/>
                <w:sz w:val="24"/>
                <w:lang w:val="en-US" w:eastAsia="zh-CN"/>
              </w:rPr>
              <w:t>MCA-105-C0105</w:t>
            </w:r>
          </w:p>
        </w:tc>
        <w:tc>
          <w:tcPr>
            <w:tcW w:w="1506" w:type="dxa"/>
            <w:vAlign w:val="center"/>
          </w:tcPr>
          <w:p w14:paraId="3D0CB8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rPr>
            </w:pPr>
            <w:r>
              <w:rPr>
                <w:rFonts w:hint="eastAsia" w:ascii="宋体" w:hAnsi="宋体"/>
                <w:sz w:val="24"/>
                <w:lang w:val="en-US" w:eastAsia="zh-CN"/>
              </w:rPr>
              <w:t>1050</w:t>
            </w:r>
          </w:p>
        </w:tc>
        <w:tc>
          <w:tcPr>
            <w:tcW w:w="1428" w:type="dxa"/>
            <w:shd w:val="clear" w:color="auto" w:fill="auto"/>
            <w:vAlign w:val="center"/>
          </w:tcPr>
          <w:p w14:paraId="55F288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4"/>
                <w:szCs w:val="24"/>
                <w:lang w:val="en-US" w:eastAsia="zh-CN" w:bidi="ar-SA"/>
              </w:rPr>
            </w:pPr>
            <w:r>
              <w:rPr>
                <w:rFonts w:hint="eastAsia" w:ascii="宋体" w:hAnsi="宋体"/>
                <w:sz w:val="24"/>
                <w:lang w:val="en-US" w:eastAsia="zh-CN"/>
              </w:rPr>
              <w:t>1.75</w:t>
            </w:r>
          </w:p>
        </w:tc>
        <w:tc>
          <w:tcPr>
            <w:tcW w:w="1533" w:type="dxa"/>
            <w:shd w:val="clear" w:color="auto" w:fill="auto"/>
            <w:vAlign w:val="center"/>
          </w:tcPr>
          <w:p w14:paraId="267B15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4"/>
                <w:szCs w:val="24"/>
                <w:lang w:val="en-US" w:eastAsia="zh-CN" w:bidi="ar-SA"/>
              </w:rPr>
            </w:pPr>
            <w:r>
              <w:rPr>
                <w:rFonts w:hint="eastAsia" w:ascii="宋体" w:hAnsi="宋体"/>
                <w:sz w:val="24"/>
                <w:lang w:val="en-US" w:eastAsia="zh-CN"/>
              </w:rPr>
              <w:t>10层10站</w:t>
            </w:r>
          </w:p>
        </w:tc>
        <w:tc>
          <w:tcPr>
            <w:tcW w:w="1217" w:type="dxa"/>
            <w:shd w:val="clear" w:color="auto" w:fill="auto"/>
            <w:vAlign w:val="center"/>
          </w:tcPr>
          <w:p w14:paraId="2FC94C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4"/>
                <w:szCs w:val="24"/>
                <w:lang w:val="en-US" w:eastAsia="zh-CN" w:bidi="ar-SA"/>
              </w:rPr>
            </w:pPr>
            <w:r>
              <w:rPr>
                <w:rFonts w:hint="eastAsia" w:ascii="宋体" w:hAnsi="宋体"/>
                <w:sz w:val="24"/>
                <w:lang w:val="en-US" w:eastAsia="zh-CN"/>
              </w:rPr>
              <w:t>并联</w:t>
            </w:r>
          </w:p>
        </w:tc>
      </w:tr>
    </w:tbl>
    <w:p w14:paraId="1BF03467">
      <w:pPr>
        <w:keepNext w:val="0"/>
        <w:keepLines w:val="0"/>
        <w:pageBreakBefore w:val="0"/>
        <w:numPr>
          <w:ilvl w:val="0"/>
          <w:numId w:val="0"/>
        </w:numPr>
        <w:tabs>
          <w:tab w:val="left" w:pos="616"/>
        </w:tabs>
        <w:kinsoku/>
        <w:wordWrap/>
        <w:overflowPunct/>
        <w:topLinePunct w:val="0"/>
        <w:bidi w:val="0"/>
        <w:snapToGrid/>
        <w:spacing w:beforeLines="20" w:line="360" w:lineRule="auto"/>
        <w:rPr>
          <w:rFonts w:hint="default" w:ascii="宋体" w:hAnsi="宋体"/>
          <w:sz w:val="24"/>
          <w:lang w:val="en-US" w:eastAsia="zh-CN"/>
        </w:rPr>
      </w:pPr>
      <w:r>
        <w:rPr>
          <w:rFonts w:hint="eastAsia" w:ascii="宋体" w:hAnsi="宋体" w:eastAsia="宋体" w:cs="Times New Roman"/>
          <w:kern w:val="2"/>
          <w:sz w:val="24"/>
          <w:szCs w:val="24"/>
          <w:lang w:val="en-US" w:eastAsia="zh-CN" w:bidi="ar-SA"/>
        </w:rPr>
        <w:t>5、</w:t>
      </w:r>
      <w:r>
        <w:rPr>
          <w:rFonts w:hint="eastAsia" w:ascii="宋体" w:hAnsi="宋体"/>
          <w:sz w:val="24"/>
          <w:lang w:val="en-US" w:eastAsia="zh-CN"/>
        </w:rPr>
        <w:t>停车楼（4台）</w:t>
      </w:r>
    </w:p>
    <w:tbl>
      <w:tblPr>
        <w:tblStyle w:val="21"/>
        <w:tblW w:w="104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42"/>
        <w:gridCol w:w="1616"/>
        <w:gridCol w:w="1667"/>
        <w:gridCol w:w="1733"/>
        <w:gridCol w:w="1726"/>
        <w:gridCol w:w="1367"/>
        <w:gridCol w:w="1233"/>
      </w:tblGrid>
      <w:tr w14:paraId="0A9B6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142" w:type="dxa"/>
            <w:vAlign w:val="center"/>
          </w:tcPr>
          <w:p w14:paraId="3FD473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sz w:val="24"/>
                <w:lang w:val="en-US" w:eastAsia="zh-CN"/>
              </w:rPr>
            </w:pPr>
            <w:r>
              <w:rPr>
                <w:rFonts w:hint="eastAsia" w:ascii="宋体" w:hAnsi="宋体"/>
                <w:sz w:val="24"/>
                <w:lang w:val="en-US" w:eastAsia="zh-CN"/>
              </w:rPr>
              <w:t>梯号</w:t>
            </w:r>
          </w:p>
        </w:tc>
        <w:tc>
          <w:tcPr>
            <w:tcW w:w="1616" w:type="dxa"/>
            <w:vAlign w:val="center"/>
          </w:tcPr>
          <w:p w14:paraId="78410A8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rPr>
            </w:pPr>
            <w:r>
              <w:rPr>
                <w:rFonts w:hint="eastAsia" w:ascii="宋体" w:hAnsi="宋体"/>
                <w:sz w:val="24"/>
              </w:rPr>
              <w:t>产品编号</w:t>
            </w:r>
          </w:p>
        </w:tc>
        <w:tc>
          <w:tcPr>
            <w:tcW w:w="1667" w:type="dxa"/>
            <w:vAlign w:val="center"/>
          </w:tcPr>
          <w:p w14:paraId="35E898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sz w:val="24"/>
                <w:lang w:val="en-US" w:eastAsia="zh-CN"/>
              </w:rPr>
            </w:pPr>
            <w:r>
              <w:rPr>
                <w:rFonts w:hint="eastAsia" w:ascii="宋体" w:hAnsi="宋体"/>
                <w:sz w:val="24"/>
                <w:lang w:val="en-US" w:eastAsia="zh-CN"/>
              </w:rPr>
              <w:t>型号</w:t>
            </w:r>
          </w:p>
        </w:tc>
        <w:tc>
          <w:tcPr>
            <w:tcW w:w="1733" w:type="dxa"/>
            <w:vAlign w:val="center"/>
          </w:tcPr>
          <w:p w14:paraId="0E3CC1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额定载重量（KG）</w:t>
            </w:r>
          </w:p>
        </w:tc>
        <w:tc>
          <w:tcPr>
            <w:tcW w:w="1726" w:type="dxa"/>
            <w:vAlign w:val="center"/>
          </w:tcPr>
          <w:p w14:paraId="28D91ED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额定速度（</w:t>
            </w:r>
            <w:r>
              <w:rPr>
                <w:rFonts w:ascii="宋体" w:hAnsi="宋体"/>
                <w:szCs w:val="21"/>
              </w:rPr>
              <w:t>m/s</w:t>
            </w:r>
            <w:r>
              <w:rPr>
                <w:rFonts w:hint="eastAsia" w:ascii="宋体" w:hAnsi="宋体"/>
                <w:szCs w:val="21"/>
              </w:rPr>
              <w:t>）</w:t>
            </w:r>
          </w:p>
        </w:tc>
        <w:tc>
          <w:tcPr>
            <w:tcW w:w="1367" w:type="dxa"/>
            <w:vAlign w:val="center"/>
          </w:tcPr>
          <w:p w14:paraId="5A590D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层站数</w:t>
            </w:r>
          </w:p>
        </w:tc>
        <w:tc>
          <w:tcPr>
            <w:tcW w:w="1233" w:type="dxa"/>
            <w:vAlign w:val="center"/>
          </w:tcPr>
          <w:p w14:paraId="47E808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控制方式</w:t>
            </w:r>
          </w:p>
        </w:tc>
      </w:tr>
      <w:tr w14:paraId="49A1E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142" w:type="dxa"/>
            <w:vAlign w:val="center"/>
          </w:tcPr>
          <w:p w14:paraId="5BF2A2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24"/>
                <w:lang w:val="en-US" w:eastAsia="zh-CN"/>
              </w:rPr>
            </w:pPr>
            <w:r>
              <w:rPr>
                <w:rFonts w:hint="eastAsia" w:ascii="宋体" w:hAnsi="宋体"/>
                <w:sz w:val="24"/>
                <w:lang w:val="en-US" w:eastAsia="zh-CN"/>
              </w:rPr>
              <w:t>1#</w:t>
            </w:r>
          </w:p>
        </w:tc>
        <w:tc>
          <w:tcPr>
            <w:tcW w:w="1616" w:type="dxa"/>
            <w:vAlign w:val="center"/>
          </w:tcPr>
          <w:p w14:paraId="1277F3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lang w:val="en-US" w:eastAsia="zh-CN"/>
              </w:rPr>
            </w:pPr>
            <w:r>
              <w:rPr>
                <w:rFonts w:hint="eastAsia" w:ascii="宋体" w:hAnsi="宋体"/>
                <w:sz w:val="24"/>
                <w:lang w:val="en-US" w:eastAsia="zh-CN"/>
              </w:rPr>
              <w:t>XODTH01010</w:t>
            </w:r>
          </w:p>
        </w:tc>
        <w:tc>
          <w:tcPr>
            <w:tcW w:w="1667" w:type="dxa"/>
            <w:vAlign w:val="center"/>
          </w:tcPr>
          <w:p w14:paraId="4F257D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lang w:val="en-US" w:eastAsia="zh-CN"/>
              </w:rPr>
            </w:pPr>
            <w:r>
              <w:rPr>
                <w:rFonts w:hint="eastAsia" w:ascii="宋体" w:hAnsi="宋体"/>
                <w:sz w:val="24"/>
                <w:lang w:val="en-US" w:eastAsia="zh-CN"/>
              </w:rPr>
              <w:t>Xmodel 3</w:t>
            </w:r>
          </w:p>
        </w:tc>
        <w:tc>
          <w:tcPr>
            <w:tcW w:w="1733" w:type="dxa"/>
            <w:vAlign w:val="center"/>
          </w:tcPr>
          <w:p w14:paraId="601D5F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1050</w:t>
            </w:r>
          </w:p>
        </w:tc>
        <w:tc>
          <w:tcPr>
            <w:tcW w:w="1726" w:type="dxa"/>
            <w:vAlign w:val="center"/>
          </w:tcPr>
          <w:p w14:paraId="2244DB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w:t>
            </w:r>
            <w:r>
              <w:rPr>
                <w:rFonts w:hint="eastAsia" w:ascii="宋体" w:hAnsi="宋体"/>
                <w:sz w:val="24"/>
                <w:lang w:val="en-US" w:eastAsia="zh-CN"/>
              </w:rPr>
              <w:t>75</w:t>
            </w:r>
          </w:p>
        </w:tc>
        <w:tc>
          <w:tcPr>
            <w:tcW w:w="1367" w:type="dxa"/>
            <w:vAlign w:val="center"/>
          </w:tcPr>
          <w:p w14:paraId="10D2C9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4"/>
                <w:lang w:val="en-US" w:eastAsia="zh-CN"/>
              </w:rPr>
            </w:pPr>
            <w:r>
              <w:rPr>
                <w:rFonts w:hint="eastAsia" w:ascii="宋体" w:hAnsi="宋体"/>
                <w:sz w:val="24"/>
                <w:lang w:val="en-US" w:eastAsia="zh-CN"/>
              </w:rPr>
              <w:t>8层8站</w:t>
            </w:r>
          </w:p>
        </w:tc>
        <w:tc>
          <w:tcPr>
            <w:tcW w:w="1233" w:type="dxa"/>
            <w:vAlign w:val="center"/>
          </w:tcPr>
          <w:p w14:paraId="1A4ED8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集选</w:t>
            </w:r>
          </w:p>
        </w:tc>
      </w:tr>
      <w:tr w14:paraId="37C6E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142" w:type="dxa"/>
            <w:vAlign w:val="center"/>
          </w:tcPr>
          <w:p w14:paraId="4F0387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24"/>
                <w:lang w:val="en-US" w:eastAsia="zh-CN"/>
              </w:rPr>
            </w:pPr>
            <w:r>
              <w:rPr>
                <w:rFonts w:hint="eastAsia" w:ascii="宋体" w:hAnsi="宋体"/>
                <w:sz w:val="24"/>
                <w:lang w:val="en-US" w:eastAsia="zh-CN"/>
              </w:rPr>
              <w:t>2#</w:t>
            </w:r>
          </w:p>
        </w:tc>
        <w:tc>
          <w:tcPr>
            <w:tcW w:w="1616" w:type="dxa"/>
            <w:vAlign w:val="center"/>
          </w:tcPr>
          <w:p w14:paraId="132E2F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24"/>
                <w:lang w:val="en-US"/>
              </w:rPr>
            </w:pPr>
            <w:r>
              <w:rPr>
                <w:rFonts w:hint="eastAsia" w:ascii="宋体" w:hAnsi="宋体"/>
                <w:sz w:val="24"/>
                <w:lang w:val="en-US" w:eastAsia="zh-CN"/>
              </w:rPr>
              <w:t>XODTH01011</w:t>
            </w:r>
          </w:p>
        </w:tc>
        <w:tc>
          <w:tcPr>
            <w:tcW w:w="1667" w:type="dxa"/>
            <w:vAlign w:val="center"/>
          </w:tcPr>
          <w:p w14:paraId="01A2F7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lang w:val="en-US" w:eastAsia="zh-CN"/>
              </w:rPr>
            </w:pPr>
            <w:r>
              <w:rPr>
                <w:rFonts w:hint="eastAsia" w:ascii="宋体" w:hAnsi="宋体"/>
                <w:sz w:val="24"/>
                <w:lang w:val="en-US" w:eastAsia="zh-CN"/>
              </w:rPr>
              <w:t>Xmodel 3</w:t>
            </w:r>
          </w:p>
        </w:tc>
        <w:tc>
          <w:tcPr>
            <w:tcW w:w="1733" w:type="dxa"/>
            <w:vAlign w:val="center"/>
          </w:tcPr>
          <w:p w14:paraId="186955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1050</w:t>
            </w:r>
          </w:p>
        </w:tc>
        <w:tc>
          <w:tcPr>
            <w:tcW w:w="1726" w:type="dxa"/>
            <w:vAlign w:val="center"/>
          </w:tcPr>
          <w:p w14:paraId="079603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1.75</w:t>
            </w:r>
          </w:p>
        </w:tc>
        <w:tc>
          <w:tcPr>
            <w:tcW w:w="1367" w:type="dxa"/>
            <w:vAlign w:val="center"/>
          </w:tcPr>
          <w:p w14:paraId="3E6B4C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lang w:val="en-US" w:eastAsia="zh-CN"/>
              </w:rPr>
              <w:t>8层8站</w:t>
            </w:r>
          </w:p>
        </w:tc>
        <w:tc>
          <w:tcPr>
            <w:tcW w:w="1233" w:type="dxa"/>
            <w:vAlign w:val="center"/>
          </w:tcPr>
          <w:p w14:paraId="796DBB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集选</w:t>
            </w:r>
          </w:p>
        </w:tc>
      </w:tr>
      <w:tr w14:paraId="0F7CA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142" w:type="dxa"/>
            <w:vAlign w:val="center"/>
          </w:tcPr>
          <w:p w14:paraId="3C43A4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24"/>
                <w:lang w:val="en-US" w:eastAsia="zh-CN"/>
              </w:rPr>
            </w:pPr>
            <w:r>
              <w:rPr>
                <w:rFonts w:hint="eastAsia" w:ascii="宋体" w:hAnsi="宋体"/>
                <w:sz w:val="24"/>
                <w:lang w:val="en-US" w:eastAsia="zh-CN"/>
              </w:rPr>
              <w:t>3#</w:t>
            </w:r>
          </w:p>
        </w:tc>
        <w:tc>
          <w:tcPr>
            <w:tcW w:w="1616" w:type="dxa"/>
            <w:vAlign w:val="center"/>
          </w:tcPr>
          <w:p w14:paraId="6A21D5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24"/>
                <w:lang w:val="en-US"/>
              </w:rPr>
            </w:pPr>
            <w:r>
              <w:rPr>
                <w:rFonts w:hint="eastAsia" w:ascii="宋体" w:hAnsi="宋体"/>
                <w:sz w:val="24"/>
                <w:lang w:val="en-US" w:eastAsia="zh-CN"/>
              </w:rPr>
              <w:t>XODTH01012</w:t>
            </w:r>
          </w:p>
        </w:tc>
        <w:tc>
          <w:tcPr>
            <w:tcW w:w="1667" w:type="dxa"/>
            <w:vAlign w:val="center"/>
          </w:tcPr>
          <w:p w14:paraId="572431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lang w:val="en-US" w:eastAsia="zh-CN"/>
              </w:rPr>
            </w:pPr>
            <w:r>
              <w:rPr>
                <w:rFonts w:hint="eastAsia" w:ascii="宋体" w:hAnsi="宋体"/>
                <w:sz w:val="24"/>
                <w:lang w:val="en-US" w:eastAsia="zh-CN"/>
              </w:rPr>
              <w:t>Xmodel 3</w:t>
            </w:r>
          </w:p>
        </w:tc>
        <w:tc>
          <w:tcPr>
            <w:tcW w:w="1733" w:type="dxa"/>
            <w:vAlign w:val="center"/>
          </w:tcPr>
          <w:p w14:paraId="57EE28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1050</w:t>
            </w:r>
          </w:p>
        </w:tc>
        <w:tc>
          <w:tcPr>
            <w:tcW w:w="1726" w:type="dxa"/>
            <w:vAlign w:val="center"/>
          </w:tcPr>
          <w:p w14:paraId="1012CC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1.75</w:t>
            </w:r>
          </w:p>
        </w:tc>
        <w:tc>
          <w:tcPr>
            <w:tcW w:w="1367" w:type="dxa"/>
            <w:vAlign w:val="center"/>
          </w:tcPr>
          <w:p w14:paraId="4C5091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lang w:val="en-US" w:eastAsia="zh-CN"/>
              </w:rPr>
              <w:t>8层8站</w:t>
            </w:r>
          </w:p>
        </w:tc>
        <w:tc>
          <w:tcPr>
            <w:tcW w:w="1233" w:type="dxa"/>
            <w:vAlign w:val="center"/>
          </w:tcPr>
          <w:p w14:paraId="6AB1AE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集选</w:t>
            </w:r>
          </w:p>
        </w:tc>
      </w:tr>
      <w:tr w14:paraId="7F17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142" w:type="dxa"/>
            <w:vAlign w:val="center"/>
          </w:tcPr>
          <w:p w14:paraId="587B0F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24"/>
                <w:lang w:val="en-US" w:eastAsia="zh-CN"/>
              </w:rPr>
            </w:pPr>
            <w:r>
              <w:rPr>
                <w:rFonts w:hint="eastAsia" w:ascii="宋体" w:hAnsi="宋体"/>
                <w:sz w:val="24"/>
                <w:lang w:val="en-US" w:eastAsia="zh-CN"/>
              </w:rPr>
              <w:t>4#</w:t>
            </w:r>
          </w:p>
        </w:tc>
        <w:tc>
          <w:tcPr>
            <w:tcW w:w="1616" w:type="dxa"/>
            <w:vAlign w:val="center"/>
          </w:tcPr>
          <w:p w14:paraId="2B6CC6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24"/>
                <w:lang w:val="en-US"/>
              </w:rPr>
            </w:pPr>
            <w:r>
              <w:rPr>
                <w:rFonts w:hint="eastAsia" w:ascii="宋体" w:hAnsi="宋体"/>
                <w:sz w:val="24"/>
                <w:lang w:val="en-US" w:eastAsia="zh-CN"/>
              </w:rPr>
              <w:t>XODTH01013</w:t>
            </w:r>
          </w:p>
        </w:tc>
        <w:tc>
          <w:tcPr>
            <w:tcW w:w="1667" w:type="dxa"/>
            <w:vAlign w:val="center"/>
          </w:tcPr>
          <w:p w14:paraId="1A6397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4"/>
                <w:lang w:val="en-US" w:eastAsia="zh-CN"/>
              </w:rPr>
            </w:pPr>
            <w:r>
              <w:rPr>
                <w:rFonts w:hint="eastAsia" w:ascii="宋体" w:hAnsi="宋体"/>
                <w:sz w:val="24"/>
                <w:lang w:val="en-US" w:eastAsia="zh-CN"/>
              </w:rPr>
              <w:t>Xmodel 3</w:t>
            </w:r>
          </w:p>
        </w:tc>
        <w:tc>
          <w:tcPr>
            <w:tcW w:w="1733" w:type="dxa"/>
            <w:vAlign w:val="center"/>
          </w:tcPr>
          <w:p w14:paraId="34B00C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1050</w:t>
            </w:r>
          </w:p>
        </w:tc>
        <w:tc>
          <w:tcPr>
            <w:tcW w:w="1726" w:type="dxa"/>
            <w:vAlign w:val="center"/>
          </w:tcPr>
          <w:p w14:paraId="1C5C931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1.75</w:t>
            </w:r>
          </w:p>
        </w:tc>
        <w:tc>
          <w:tcPr>
            <w:tcW w:w="1367" w:type="dxa"/>
            <w:vAlign w:val="center"/>
          </w:tcPr>
          <w:p w14:paraId="2AE7EF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lang w:val="en-US" w:eastAsia="zh-CN"/>
              </w:rPr>
              <w:t>8层8站</w:t>
            </w:r>
          </w:p>
        </w:tc>
        <w:tc>
          <w:tcPr>
            <w:tcW w:w="1233" w:type="dxa"/>
            <w:vAlign w:val="center"/>
          </w:tcPr>
          <w:p w14:paraId="30B964F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4"/>
              </w:rPr>
            </w:pPr>
            <w:r>
              <w:rPr>
                <w:rFonts w:hint="eastAsia" w:ascii="宋体" w:hAnsi="宋体"/>
                <w:sz w:val="24"/>
              </w:rPr>
              <w:t>集选</w:t>
            </w:r>
          </w:p>
        </w:tc>
      </w:tr>
    </w:tbl>
    <w:p w14:paraId="593AEEC1">
      <w:pPr>
        <w:keepNext w:val="0"/>
        <w:keepLines w:val="0"/>
        <w:pageBreakBefore w:val="0"/>
        <w:numPr>
          <w:ilvl w:val="0"/>
          <w:numId w:val="0"/>
        </w:numPr>
        <w:tabs>
          <w:tab w:val="left" w:pos="616"/>
        </w:tabs>
        <w:kinsoku/>
        <w:wordWrap/>
        <w:overflowPunct/>
        <w:topLinePunct w:val="0"/>
        <w:bidi w:val="0"/>
        <w:snapToGrid/>
        <w:spacing w:beforeLines="20" w:line="360" w:lineRule="auto"/>
        <w:rPr>
          <w:rFonts w:hint="eastAsia" w:ascii="宋体" w:hAnsi="宋体"/>
          <w:color w:val="FF0000"/>
          <w:sz w:val="24"/>
          <w:lang w:val="en-US" w:eastAsia="zh-CN"/>
        </w:rPr>
      </w:pPr>
      <w:r>
        <w:rPr>
          <w:rFonts w:hint="eastAsia" w:ascii="宋体" w:hAnsi="宋体"/>
          <w:color w:val="FF0000"/>
          <w:sz w:val="24"/>
          <w:lang w:val="en-US" w:eastAsia="zh-CN"/>
        </w:rPr>
        <w:t>其中停车楼4台电梯的维保时间从2026年1月1日起。</w:t>
      </w:r>
    </w:p>
    <w:p w14:paraId="674652C9">
      <w:pPr>
        <w:pStyle w:val="6"/>
        <w:keepNext w:val="0"/>
        <w:keepLines w:val="0"/>
        <w:pageBreakBefore w:val="0"/>
        <w:widowControl w:val="0"/>
        <w:numPr>
          <w:ilvl w:val="0"/>
          <w:numId w:val="0"/>
        </w:numPr>
        <w:kinsoku/>
        <w:wordWrap/>
        <w:overflowPunct/>
        <w:topLinePunct w:val="0"/>
        <w:bidi w:val="0"/>
        <w:snapToGrid/>
        <w:spacing w:line="360" w:lineRule="auto"/>
        <w:rPr>
          <w:rFonts w:hint="eastAsia"/>
          <w:sz w:val="24"/>
          <w:szCs w:val="24"/>
          <w:lang w:val="en-US" w:eastAsia="zh-CN"/>
        </w:rPr>
      </w:pPr>
      <w:r>
        <w:rPr>
          <w:rFonts w:hint="eastAsia" w:ascii="宋体" w:hAnsi="Times New Roman" w:eastAsia="宋体" w:cs="Times New Roman"/>
          <w:kern w:val="0"/>
          <w:sz w:val="24"/>
          <w:szCs w:val="24"/>
          <w:lang w:val="en-US" w:eastAsia="zh-CN" w:bidi="ar-SA"/>
        </w:rPr>
        <w:t>（2）</w:t>
      </w:r>
      <w:r>
        <w:rPr>
          <w:rFonts w:hint="eastAsia"/>
          <w:sz w:val="24"/>
          <w:szCs w:val="24"/>
          <w:lang w:val="en-US" w:eastAsia="zh-CN"/>
        </w:rPr>
        <w:t>自动扶手电梯（6台）：</w:t>
      </w:r>
    </w:p>
    <w:p w14:paraId="4E672385">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1、综合楼（4台）</w:t>
      </w:r>
    </w:p>
    <w:tbl>
      <w:tblPr>
        <w:tblStyle w:val="22"/>
        <w:tblW w:w="10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2329"/>
        <w:gridCol w:w="2187"/>
        <w:gridCol w:w="1284"/>
        <w:gridCol w:w="1316"/>
        <w:gridCol w:w="1750"/>
      </w:tblGrid>
      <w:tr w14:paraId="4493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Align w:val="center"/>
          </w:tcPr>
          <w:p w14:paraId="38390E46">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梯号</w:t>
            </w:r>
          </w:p>
        </w:tc>
        <w:tc>
          <w:tcPr>
            <w:tcW w:w="2329" w:type="dxa"/>
            <w:vAlign w:val="center"/>
          </w:tcPr>
          <w:p w14:paraId="56F5E8CB">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kern w:val="0"/>
                <w:sz w:val="24"/>
                <w:szCs w:val="24"/>
              </w:rPr>
              <w:t>单位内部编号</w:t>
            </w:r>
          </w:p>
        </w:tc>
        <w:tc>
          <w:tcPr>
            <w:tcW w:w="2187" w:type="dxa"/>
            <w:vAlign w:val="center"/>
          </w:tcPr>
          <w:p w14:paraId="368DD733">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型号</w:t>
            </w:r>
          </w:p>
        </w:tc>
        <w:tc>
          <w:tcPr>
            <w:tcW w:w="1284" w:type="dxa"/>
            <w:vAlign w:val="center"/>
          </w:tcPr>
          <w:p w14:paraId="14471224">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层站数</w:t>
            </w:r>
          </w:p>
        </w:tc>
        <w:tc>
          <w:tcPr>
            <w:tcW w:w="1316" w:type="dxa"/>
            <w:vAlign w:val="center"/>
          </w:tcPr>
          <w:p w14:paraId="2DF18F35">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速度（m/s）</w:t>
            </w:r>
          </w:p>
        </w:tc>
        <w:tc>
          <w:tcPr>
            <w:tcW w:w="1750" w:type="dxa"/>
            <w:vAlign w:val="center"/>
          </w:tcPr>
          <w:p w14:paraId="14B91D92">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提升高度（m）</w:t>
            </w:r>
          </w:p>
        </w:tc>
      </w:tr>
      <w:tr w14:paraId="4C453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Align w:val="center"/>
          </w:tcPr>
          <w:p w14:paraId="23028ACF">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左/2</w:t>
            </w:r>
          </w:p>
        </w:tc>
        <w:tc>
          <w:tcPr>
            <w:tcW w:w="2329" w:type="dxa"/>
            <w:shd w:val="clear" w:color="auto" w:fill="auto"/>
            <w:vAlign w:val="center"/>
          </w:tcPr>
          <w:p w14:paraId="09C4626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F-00347</w:t>
            </w:r>
          </w:p>
        </w:tc>
        <w:tc>
          <w:tcPr>
            <w:tcW w:w="2187" w:type="dxa"/>
            <w:shd w:val="clear" w:color="auto" w:fill="auto"/>
            <w:vAlign w:val="center"/>
          </w:tcPr>
          <w:p w14:paraId="2BC0073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FT1000-LC30</w:t>
            </w:r>
          </w:p>
        </w:tc>
        <w:tc>
          <w:tcPr>
            <w:tcW w:w="1284" w:type="dxa"/>
            <w:vAlign w:val="center"/>
          </w:tcPr>
          <w:p w14:paraId="21CE7DAD">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自动扶梯</w:t>
            </w:r>
          </w:p>
        </w:tc>
        <w:tc>
          <w:tcPr>
            <w:tcW w:w="1316" w:type="dxa"/>
            <w:shd w:val="clear" w:color="auto" w:fill="auto"/>
            <w:vAlign w:val="center"/>
          </w:tcPr>
          <w:p w14:paraId="489E11C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0.5</w:t>
            </w:r>
          </w:p>
        </w:tc>
        <w:tc>
          <w:tcPr>
            <w:tcW w:w="1750" w:type="dxa"/>
            <w:vAlign w:val="center"/>
          </w:tcPr>
          <w:p w14:paraId="5ACD3530">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w:t>
            </w:r>
          </w:p>
        </w:tc>
      </w:tr>
      <w:tr w14:paraId="2556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Align w:val="center"/>
          </w:tcPr>
          <w:p w14:paraId="75D10AE1">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右/2</w:t>
            </w:r>
          </w:p>
        </w:tc>
        <w:tc>
          <w:tcPr>
            <w:tcW w:w="2329" w:type="dxa"/>
            <w:shd w:val="clear" w:color="auto" w:fill="auto"/>
            <w:vAlign w:val="center"/>
          </w:tcPr>
          <w:p w14:paraId="36B1C6E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F-00348</w:t>
            </w:r>
          </w:p>
        </w:tc>
        <w:tc>
          <w:tcPr>
            <w:tcW w:w="2187" w:type="dxa"/>
            <w:shd w:val="clear" w:color="auto" w:fill="auto"/>
            <w:vAlign w:val="center"/>
          </w:tcPr>
          <w:p w14:paraId="7C03F6B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FT1000-LC30</w:t>
            </w:r>
          </w:p>
        </w:tc>
        <w:tc>
          <w:tcPr>
            <w:tcW w:w="1284" w:type="dxa"/>
            <w:vAlign w:val="center"/>
          </w:tcPr>
          <w:p w14:paraId="14A262A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自动扶梯</w:t>
            </w:r>
          </w:p>
        </w:tc>
        <w:tc>
          <w:tcPr>
            <w:tcW w:w="1316" w:type="dxa"/>
            <w:shd w:val="clear" w:color="auto" w:fill="auto"/>
            <w:vAlign w:val="center"/>
          </w:tcPr>
          <w:p w14:paraId="07341C2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0.5</w:t>
            </w:r>
          </w:p>
        </w:tc>
        <w:tc>
          <w:tcPr>
            <w:tcW w:w="1750" w:type="dxa"/>
            <w:vAlign w:val="center"/>
          </w:tcPr>
          <w:p w14:paraId="3ECC8C7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w:t>
            </w:r>
          </w:p>
        </w:tc>
      </w:tr>
      <w:tr w14:paraId="7B03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Align w:val="center"/>
          </w:tcPr>
          <w:p w14:paraId="549D3808">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左/1</w:t>
            </w:r>
          </w:p>
        </w:tc>
        <w:tc>
          <w:tcPr>
            <w:tcW w:w="2329" w:type="dxa"/>
            <w:shd w:val="clear" w:color="auto" w:fill="auto"/>
            <w:vAlign w:val="center"/>
          </w:tcPr>
          <w:p w14:paraId="7D6B542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F-00345</w:t>
            </w:r>
          </w:p>
        </w:tc>
        <w:tc>
          <w:tcPr>
            <w:tcW w:w="2187" w:type="dxa"/>
            <w:shd w:val="clear" w:color="auto" w:fill="auto"/>
            <w:vAlign w:val="center"/>
          </w:tcPr>
          <w:p w14:paraId="36B233B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FT1000-LC30</w:t>
            </w:r>
          </w:p>
        </w:tc>
        <w:tc>
          <w:tcPr>
            <w:tcW w:w="1284" w:type="dxa"/>
            <w:vAlign w:val="center"/>
          </w:tcPr>
          <w:p w14:paraId="1F14D70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自动扶梯</w:t>
            </w:r>
          </w:p>
        </w:tc>
        <w:tc>
          <w:tcPr>
            <w:tcW w:w="1316" w:type="dxa"/>
            <w:shd w:val="clear" w:color="auto" w:fill="auto"/>
            <w:vAlign w:val="center"/>
          </w:tcPr>
          <w:p w14:paraId="26D0575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0.5</w:t>
            </w:r>
          </w:p>
        </w:tc>
        <w:tc>
          <w:tcPr>
            <w:tcW w:w="1750" w:type="dxa"/>
            <w:vAlign w:val="center"/>
          </w:tcPr>
          <w:p w14:paraId="2AD8871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w:t>
            </w:r>
          </w:p>
        </w:tc>
      </w:tr>
      <w:tr w14:paraId="655A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Align w:val="center"/>
          </w:tcPr>
          <w:p w14:paraId="330710E6">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右/1</w:t>
            </w:r>
          </w:p>
        </w:tc>
        <w:tc>
          <w:tcPr>
            <w:tcW w:w="2329" w:type="dxa"/>
            <w:shd w:val="clear" w:color="auto" w:fill="auto"/>
            <w:vAlign w:val="center"/>
          </w:tcPr>
          <w:p w14:paraId="172CA38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F-00346</w:t>
            </w:r>
          </w:p>
        </w:tc>
        <w:tc>
          <w:tcPr>
            <w:tcW w:w="2187" w:type="dxa"/>
            <w:shd w:val="clear" w:color="auto" w:fill="auto"/>
            <w:vAlign w:val="center"/>
          </w:tcPr>
          <w:p w14:paraId="51D4A20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FT1000-LC30</w:t>
            </w:r>
          </w:p>
        </w:tc>
        <w:tc>
          <w:tcPr>
            <w:tcW w:w="1284" w:type="dxa"/>
            <w:vAlign w:val="center"/>
          </w:tcPr>
          <w:p w14:paraId="2260EC8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自动扶梯</w:t>
            </w:r>
          </w:p>
        </w:tc>
        <w:tc>
          <w:tcPr>
            <w:tcW w:w="1316" w:type="dxa"/>
            <w:shd w:val="clear" w:color="auto" w:fill="auto"/>
            <w:vAlign w:val="center"/>
          </w:tcPr>
          <w:p w14:paraId="341B6B4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0.5</w:t>
            </w:r>
          </w:p>
        </w:tc>
        <w:tc>
          <w:tcPr>
            <w:tcW w:w="1750" w:type="dxa"/>
            <w:vAlign w:val="center"/>
          </w:tcPr>
          <w:p w14:paraId="51AF18A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w:t>
            </w:r>
          </w:p>
        </w:tc>
      </w:tr>
    </w:tbl>
    <w:p w14:paraId="7CDB7640">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jc w:val="left"/>
        <w:textAlignment w:val="auto"/>
        <w:rPr>
          <w:rFonts w:hint="eastAsia"/>
          <w:lang w:val="en-US" w:eastAsia="zh-CN"/>
        </w:rPr>
      </w:pPr>
      <w:r>
        <w:rPr>
          <w:rFonts w:hint="eastAsia" w:ascii="Times New Roman" w:hAnsi="Times New Roman" w:eastAsia="宋体" w:cs="Times New Roman"/>
          <w:kern w:val="2"/>
          <w:sz w:val="21"/>
          <w:szCs w:val="24"/>
          <w:lang w:val="en-US" w:eastAsia="zh-CN" w:bidi="ar-SA"/>
        </w:rPr>
        <w:t>2、</w:t>
      </w:r>
      <w:r>
        <w:rPr>
          <w:rFonts w:hint="eastAsia"/>
          <w:lang w:val="en-US" w:eastAsia="zh-CN"/>
        </w:rPr>
        <w:t>妇幼楼（2台）</w:t>
      </w:r>
    </w:p>
    <w:tbl>
      <w:tblPr>
        <w:tblStyle w:val="22"/>
        <w:tblW w:w="10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6"/>
        <w:gridCol w:w="2313"/>
        <w:gridCol w:w="2187"/>
        <w:gridCol w:w="1284"/>
        <w:gridCol w:w="1316"/>
        <w:gridCol w:w="1750"/>
      </w:tblGrid>
      <w:tr w14:paraId="5E5C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vAlign w:val="center"/>
          </w:tcPr>
          <w:p w14:paraId="52140E2A">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梯号</w:t>
            </w:r>
          </w:p>
        </w:tc>
        <w:tc>
          <w:tcPr>
            <w:tcW w:w="2313" w:type="dxa"/>
            <w:vAlign w:val="center"/>
          </w:tcPr>
          <w:p w14:paraId="6A1C1262">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kern w:val="0"/>
                <w:sz w:val="24"/>
                <w:szCs w:val="24"/>
              </w:rPr>
              <w:t>单位内部编号</w:t>
            </w:r>
          </w:p>
        </w:tc>
        <w:tc>
          <w:tcPr>
            <w:tcW w:w="2187" w:type="dxa"/>
            <w:vAlign w:val="center"/>
          </w:tcPr>
          <w:p w14:paraId="3CDD43F5">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型号</w:t>
            </w:r>
          </w:p>
        </w:tc>
        <w:tc>
          <w:tcPr>
            <w:tcW w:w="1284" w:type="dxa"/>
            <w:vAlign w:val="center"/>
          </w:tcPr>
          <w:p w14:paraId="739BF2DB">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层站数</w:t>
            </w:r>
          </w:p>
        </w:tc>
        <w:tc>
          <w:tcPr>
            <w:tcW w:w="1316" w:type="dxa"/>
            <w:vAlign w:val="center"/>
          </w:tcPr>
          <w:p w14:paraId="5F9A3588">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速度（m/s）</w:t>
            </w:r>
          </w:p>
        </w:tc>
        <w:tc>
          <w:tcPr>
            <w:tcW w:w="1750" w:type="dxa"/>
            <w:vAlign w:val="center"/>
          </w:tcPr>
          <w:p w14:paraId="106814E1">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提升高度（m）</w:t>
            </w:r>
          </w:p>
        </w:tc>
      </w:tr>
      <w:tr w14:paraId="7485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vAlign w:val="center"/>
          </w:tcPr>
          <w:p w14:paraId="26DFC6A8">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左/</w:t>
            </w:r>
            <w:r>
              <w:rPr>
                <w:rFonts w:hint="eastAsia" w:ascii="宋体" w:hAnsi="宋体" w:cs="宋体"/>
                <w:sz w:val="24"/>
                <w:szCs w:val="24"/>
                <w:vertAlign w:val="baseline"/>
                <w:lang w:val="en-US" w:eastAsia="zh-CN"/>
              </w:rPr>
              <w:t>1</w:t>
            </w:r>
          </w:p>
        </w:tc>
        <w:tc>
          <w:tcPr>
            <w:tcW w:w="2313" w:type="dxa"/>
            <w:shd w:val="clear" w:color="auto" w:fill="auto"/>
            <w:vAlign w:val="center"/>
          </w:tcPr>
          <w:p w14:paraId="71AA745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F-00345</w:t>
            </w:r>
          </w:p>
        </w:tc>
        <w:tc>
          <w:tcPr>
            <w:tcW w:w="2187" w:type="dxa"/>
            <w:shd w:val="clear" w:color="auto" w:fill="auto"/>
            <w:vAlign w:val="center"/>
          </w:tcPr>
          <w:p w14:paraId="6FE86FB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1200HX-EN</w:t>
            </w:r>
          </w:p>
        </w:tc>
        <w:tc>
          <w:tcPr>
            <w:tcW w:w="1284" w:type="dxa"/>
            <w:vAlign w:val="center"/>
          </w:tcPr>
          <w:p w14:paraId="3E531B90">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自动扶梯</w:t>
            </w:r>
          </w:p>
        </w:tc>
        <w:tc>
          <w:tcPr>
            <w:tcW w:w="1316" w:type="dxa"/>
            <w:shd w:val="clear" w:color="auto" w:fill="auto"/>
            <w:vAlign w:val="center"/>
          </w:tcPr>
          <w:p w14:paraId="382A385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0.5</w:t>
            </w:r>
          </w:p>
        </w:tc>
        <w:tc>
          <w:tcPr>
            <w:tcW w:w="1750" w:type="dxa"/>
            <w:vAlign w:val="center"/>
          </w:tcPr>
          <w:p w14:paraId="46CEDCDD">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5.2</w:t>
            </w:r>
          </w:p>
        </w:tc>
      </w:tr>
      <w:tr w14:paraId="42B7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vAlign w:val="center"/>
          </w:tcPr>
          <w:p w14:paraId="527CC0D7">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右/</w:t>
            </w:r>
            <w:r>
              <w:rPr>
                <w:rFonts w:hint="eastAsia" w:ascii="宋体" w:hAnsi="宋体" w:cs="宋体"/>
                <w:sz w:val="24"/>
                <w:szCs w:val="24"/>
                <w:vertAlign w:val="baseline"/>
                <w:lang w:val="en-US" w:eastAsia="zh-CN"/>
              </w:rPr>
              <w:t>1</w:t>
            </w:r>
          </w:p>
        </w:tc>
        <w:tc>
          <w:tcPr>
            <w:tcW w:w="2313" w:type="dxa"/>
            <w:shd w:val="clear" w:color="auto" w:fill="auto"/>
            <w:vAlign w:val="center"/>
          </w:tcPr>
          <w:p w14:paraId="0E988D1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F-00346</w:t>
            </w:r>
          </w:p>
        </w:tc>
        <w:tc>
          <w:tcPr>
            <w:tcW w:w="2187" w:type="dxa"/>
            <w:shd w:val="clear" w:color="auto" w:fill="auto"/>
            <w:vAlign w:val="center"/>
          </w:tcPr>
          <w:p w14:paraId="61FD095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1200HX-EN</w:t>
            </w:r>
          </w:p>
        </w:tc>
        <w:tc>
          <w:tcPr>
            <w:tcW w:w="1284" w:type="dxa"/>
            <w:vAlign w:val="center"/>
          </w:tcPr>
          <w:p w14:paraId="4DCAB7A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自动扶梯</w:t>
            </w:r>
          </w:p>
        </w:tc>
        <w:tc>
          <w:tcPr>
            <w:tcW w:w="1316" w:type="dxa"/>
            <w:shd w:val="clear" w:color="auto" w:fill="auto"/>
            <w:vAlign w:val="center"/>
          </w:tcPr>
          <w:p w14:paraId="1575AA0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0.5</w:t>
            </w:r>
          </w:p>
        </w:tc>
        <w:tc>
          <w:tcPr>
            <w:tcW w:w="1750" w:type="dxa"/>
            <w:vAlign w:val="center"/>
          </w:tcPr>
          <w:p w14:paraId="7DB680F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5.2</w:t>
            </w:r>
          </w:p>
        </w:tc>
      </w:tr>
    </w:tbl>
    <w:p w14:paraId="2CA05268">
      <w:pPr>
        <w:numPr>
          <w:ilvl w:val="0"/>
          <w:numId w:val="0"/>
        </w:numPr>
        <w:rPr>
          <w:rFonts w:hint="default"/>
          <w:lang w:val="en-US" w:eastAsia="zh-CN"/>
        </w:rPr>
      </w:pPr>
    </w:p>
    <w:p w14:paraId="534F22F8">
      <w:pPr>
        <w:keepNext w:val="0"/>
        <w:keepLines w:val="0"/>
        <w:pageBreakBefore w:val="0"/>
        <w:numPr>
          <w:ilvl w:val="0"/>
          <w:numId w:val="0"/>
        </w:numPr>
        <w:tabs>
          <w:tab w:val="left" w:pos="616"/>
        </w:tabs>
        <w:kinsoku/>
        <w:wordWrap/>
        <w:overflowPunct/>
        <w:topLinePunct w:val="0"/>
        <w:bidi w:val="0"/>
        <w:snapToGrid/>
        <w:spacing w:beforeLines="20" w:line="360" w:lineRule="auto"/>
        <w:rPr>
          <w:rFonts w:hint="eastAsia" w:ascii="宋体" w:hAnsi="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二、</w:t>
      </w:r>
      <w:r>
        <w:rPr>
          <w:rFonts w:hint="eastAsia" w:ascii="宋体" w:hAnsi="宋体" w:cs="Times New Roman"/>
          <w:color w:val="auto"/>
          <w:kern w:val="2"/>
          <w:sz w:val="24"/>
          <w:szCs w:val="24"/>
          <w:lang w:val="en-US" w:eastAsia="zh-CN" w:bidi="ar-SA"/>
        </w:rPr>
        <w:t>项目内容</w:t>
      </w:r>
    </w:p>
    <w:p w14:paraId="2DEAB85D">
      <w:pPr>
        <w:keepNext w:val="0"/>
        <w:keepLines w:val="0"/>
        <w:pageBreakBefore w:val="0"/>
        <w:widowControl w:val="0"/>
        <w:numPr>
          <w:ilvl w:val="0"/>
          <w:numId w:val="0"/>
        </w:numPr>
        <w:tabs>
          <w:tab w:val="left" w:pos="616"/>
        </w:tabs>
        <w:kinsoku/>
        <w:wordWrap/>
        <w:overflowPunct/>
        <w:topLinePunct w:val="0"/>
        <w:bidi w:val="0"/>
        <w:snapToGrid/>
        <w:spacing w:beforeLines="20" w:line="360" w:lineRule="auto"/>
        <w:ind w:firstLine="480" w:firstLineChars="200"/>
        <w:rPr>
          <w:rFonts w:hint="eastAsia" w:ascii="宋体" w:hAnsi="宋体" w:cs="Times New Roman"/>
          <w:color w:val="auto"/>
          <w:kern w:val="2"/>
          <w:sz w:val="24"/>
          <w:szCs w:val="24"/>
          <w:lang w:val="en-US" w:eastAsia="zh-CN" w:bidi="ar-SA"/>
        </w:rPr>
      </w:pPr>
      <w:r>
        <w:rPr>
          <w:rFonts w:hint="eastAsia" w:ascii="宋体" w:hAnsi="宋体" w:cs="Times New Roman"/>
          <w:color w:val="auto"/>
          <w:kern w:val="2"/>
          <w:sz w:val="24"/>
          <w:szCs w:val="24"/>
          <w:lang w:val="en-US" w:eastAsia="zh-CN" w:bidi="ar-SA"/>
        </w:rPr>
        <w:t>1、项目名称：中山市小榄人民医院电梯维保项目</w:t>
      </w:r>
    </w:p>
    <w:p w14:paraId="64D6486E">
      <w:pPr>
        <w:pStyle w:val="6"/>
        <w:keepNext w:val="0"/>
        <w:keepLines w:val="0"/>
        <w:pageBreakBefore w:val="0"/>
        <w:widowControl w:val="0"/>
        <w:kinsoku/>
        <w:wordWrap/>
        <w:overflowPunct/>
        <w:topLinePunct w:val="0"/>
        <w:bidi w:val="0"/>
        <w:snapToGrid/>
        <w:spacing w:line="360" w:lineRule="auto"/>
        <w:ind w:firstLine="480" w:firstLineChars="200"/>
        <w:rPr>
          <w:rFonts w:hint="eastAsia" w:hAnsi="宋体" w:cs="Times New Roman"/>
          <w:color w:val="auto"/>
          <w:kern w:val="2"/>
          <w:sz w:val="24"/>
          <w:szCs w:val="24"/>
          <w:lang w:val="en-US" w:eastAsia="zh-CN" w:bidi="ar-SA"/>
        </w:rPr>
      </w:pPr>
      <w:r>
        <w:rPr>
          <w:rFonts w:hint="eastAsia" w:hAnsi="宋体" w:cs="Times New Roman"/>
          <w:color w:val="auto"/>
          <w:kern w:val="2"/>
          <w:sz w:val="24"/>
          <w:szCs w:val="24"/>
          <w:lang w:val="en-US" w:eastAsia="zh-CN" w:bidi="ar-SA"/>
        </w:rPr>
        <w:t>2、服务期限：3年，自2025年5月1日至2028年4月30日止（其中停车楼4台电梯的服务期限自2026年1月1日至2028年4月30日止）</w:t>
      </w:r>
    </w:p>
    <w:p w14:paraId="36820CEF">
      <w:pPr>
        <w:pStyle w:val="7"/>
        <w:keepNext w:val="0"/>
        <w:keepLines w:val="0"/>
        <w:pageBreakBefore w:val="0"/>
        <w:widowControl w:val="0"/>
        <w:kinsoku/>
        <w:wordWrap/>
        <w:overflowPunct/>
        <w:topLinePunct w:val="0"/>
        <w:bidi w:val="0"/>
        <w:snapToGrid/>
        <w:spacing w:line="360" w:lineRule="auto"/>
        <w:ind w:left="0" w:leftChars="0" w:firstLine="480" w:firstLineChars="200"/>
        <w:rPr>
          <w:rFonts w:hint="default"/>
          <w:lang w:val="en-US" w:eastAsia="zh-CN"/>
        </w:rPr>
      </w:pPr>
      <w:r>
        <w:rPr>
          <w:rFonts w:hint="eastAsia" w:hAnsi="宋体" w:cs="Times New Roman"/>
          <w:color w:val="auto"/>
          <w:kern w:val="2"/>
          <w:sz w:val="24"/>
          <w:szCs w:val="24"/>
          <w:lang w:val="en-US" w:eastAsia="zh-CN" w:bidi="ar-SA"/>
        </w:rPr>
        <w:t>3、</w:t>
      </w:r>
      <w:r>
        <w:rPr>
          <w:rFonts w:hint="eastAsia" w:ascii="宋体" w:hAnsi="宋体" w:eastAsia="宋体" w:cs="Times New Roman"/>
          <w:color w:val="auto"/>
          <w:kern w:val="2"/>
          <w:sz w:val="24"/>
          <w:szCs w:val="24"/>
          <w:lang w:val="en-US" w:eastAsia="zh-CN" w:bidi="ar-SA"/>
        </w:rPr>
        <w:t>项目服务期限采用1+1+1的形式，即先签订一年合同，在一年合同期满后，如采购人对成交供应商所提供的服务满意且考核合格，经采购人同意，本项目服务期限自动延期，若采购人对成交供应商所提供的服务不满意（即连续两个月考核结果低于75分），采购人有权单方终止合同。</w:t>
      </w:r>
    </w:p>
    <w:p w14:paraId="4365A910">
      <w:pPr>
        <w:keepNext w:val="0"/>
        <w:keepLines w:val="0"/>
        <w:pageBreakBefore w:val="0"/>
        <w:widowControl w:val="0"/>
        <w:numPr>
          <w:ilvl w:val="0"/>
          <w:numId w:val="0"/>
        </w:numPr>
        <w:tabs>
          <w:tab w:val="left" w:pos="616"/>
        </w:tabs>
        <w:kinsoku/>
        <w:wordWrap/>
        <w:overflowPunct/>
        <w:topLinePunct w:val="0"/>
        <w:bidi w:val="0"/>
        <w:snapToGrid/>
        <w:spacing w:beforeLines="20" w:line="360" w:lineRule="auto"/>
        <w:ind w:firstLine="480" w:firstLineChars="200"/>
        <w:rPr>
          <w:rFonts w:hint="default"/>
          <w:lang w:val="en-US" w:eastAsia="zh-CN"/>
        </w:rPr>
      </w:pPr>
      <w:r>
        <w:rPr>
          <w:rFonts w:hint="eastAsia" w:ascii="宋体" w:hAnsi="宋体" w:cs="Times New Roman"/>
          <w:color w:val="auto"/>
          <w:kern w:val="2"/>
          <w:sz w:val="24"/>
          <w:szCs w:val="24"/>
          <w:lang w:val="en-US" w:eastAsia="zh-CN" w:bidi="ar-SA"/>
        </w:rPr>
        <w:t>4、服务地点：中山市小榄人民医院</w:t>
      </w:r>
    </w:p>
    <w:p w14:paraId="19AA3E65">
      <w:pPr>
        <w:keepNext w:val="0"/>
        <w:keepLines w:val="0"/>
        <w:pageBreakBefore w:val="0"/>
        <w:numPr>
          <w:ilvl w:val="0"/>
          <w:numId w:val="0"/>
        </w:numPr>
        <w:tabs>
          <w:tab w:val="left" w:pos="616"/>
        </w:tabs>
        <w:kinsoku/>
        <w:wordWrap/>
        <w:overflowPunct/>
        <w:topLinePunct w:val="0"/>
        <w:bidi w:val="0"/>
        <w:snapToGrid/>
        <w:spacing w:beforeLines="20" w:line="360" w:lineRule="auto"/>
        <w:rPr>
          <w:rFonts w:hint="eastAsia" w:ascii="宋体" w:hAnsi="宋体"/>
          <w:color w:val="auto"/>
          <w:sz w:val="24"/>
          <w:lang w:val="en-US" w:eastAsia="zh-CN"/>
        </w:rPr>
      </w:pPr>
      <w:r>
        <w:rPr>
          <w:rFonts w:hint="eastAsia" w:ascii="宋体" w:hAnsi="宋体" w:cs="Times New Roman"/>
          <w:color w:val="auto"/>
          <w:kern w:val="2"/>
          <w:sz w:val="24"/>
          <w:szCs w:val="24"/>
          <w:lang w:val="en-US" w:eastAsia="zh-CN" w:bidi="ar-SA"/>
        </w:rPr>
        <w:t>三</w:t>
      </w:r>
      <w:r>
        <w:rPr>
          <w:rFonts w:hint="eastAsia" w:ascii="宋体" w:hAnsi="宋体" w:eastAsia="宋体" w:cs="Times New Roman"/>
          <w:color w:val="auto"/>
          <w:kern w:val="2"/>
          <w:sz w:val="24"/>
          <w:szCs w:val="24"/>
          <w:lang w:val="en-US" w:eastAsia="zh-CN" w:bidi="ar-SA"/>
        </w:rPr>
        <w:t>、</w:t>
      </w:r>
      <w:r>
        <w:rPr>
          <w:rFonts w:hint="eastAsia" w:ascii="宋体" w:hAnsi="宋体"/>
          <w:color w:val="auto"/>
          <w:sz w:val="24"/>
          <w:lang w:val="en-US" w:eastAsia="zh-CN"/>
        </w:rPr>
        <w:t>供应商资质要求</w:t>
      </w:r>
    </w:p>
    <w:p w14:paraId="05E74989">
      <w:pPr>
        <w:keepNext w:val="0"/>
        <w:keepLines w:val="0"/>
        <w:pageBreakBefore w:val="0"/>
        <w:widowControl w:val="0"/>
        <w:numPr>
          <w:ilvl w:val="0"/>
          <w:numId w:val="0"/>
        </w:numPr>
        <w:tabs>
          <w:tab w:val="left" w:pos="616"/>
        </w:tabs>
        <w:kinsoku/>
        <w:wordWrap/>
        <w:overflowPunct/>
        <w:topLinePunct w:val="0"/>
        <w:bidi w:val="0"/>
        <w:snapToGrid/>
        <w:spacing w:beforeLines="20" w:line="360" w:lineRule="auto"/>
        <w:ind w:firstLine="480" w:firstLineChars="200"/>
        <w:rPr>
          <w:rFonts w:hint="eastAsia" w:ascii="宋体" w:hAnsi="宋体"/>
          <w:color w:val="auto"/>
          <w:sz w:val="24"/>
          <w:lang w:val="en-US" w:eastAsia="zh-CN"/>
        </w:rPr>
      </w:pPr>
      <w:r>
        <w:rPr>
          <w:rFonts w:hint="eastAsia" w:ascii="宋体" w:hAnsi="宋体"/>
          <w:color w:val="auto"/>
          <w:sz w:val="24"/>
          <w:lang w:val="en-US" w:eastAsia="zh-CN"/>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14:paraId="39CA4545">
      <w:pPr>
        <w:pStyle w:val="6"/>
        <w:keepNext w:val="0"/>
        <w:keepLines w:val="0"/>
        <w:pageBreakBefore w:val="0"/>
        <w:widowControl w:val="0"/>
        <w:kinsoku/>
        <w:wordWrap/>
        <w:overflowPunct/>
        <w:topLinePunct w:val="0"/>
        <w:bidi w:val="0"/>
        <w:snapToGrid/>
        <w:spacing w:line="360" w:lineRule="auto"/>
        <w:ind w:firstLine="480" w:firstLineChars="200"/>
        <w:rPr>
          <w:rFonts w:hint="default"/>
          <w:lang w:val="en-US" w:eastAsia="zh-CN"/>
        </w:rPr>
      </w:pPr>
      <w:r>
        <w:rPr>
          <w:rFonts w:hint="eastAsia" w:hAnsi="宋体"/>
          <w:color w:val="auto"/>
          <w:sz w:val="24"/>
          <w:lang w:val="en-US" w:eastAsia="zh-CN"/>
        </w:rPr>
        <w:t>2、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14:paraId="086B73A8">
      <w:pPr>
        <w:keepNext w:val="0"/>
        <w:keepLines w:val="0"/>
        <w:pageBreakBefore w:val="0"/>
        <w:widowControl w:val="0"/>
        <w:numPr>
          <w:ilvl w:val="0"/>
          <w:numId w:val="0"/>
        </w:numPr>
        <w:tabs>
          <w:tab w:val="left" w:pos="616"/>
        </w:tabs>
        <w:kinsoku/>
        <w:wordWrap/>
        <w:overflowPunct/>
        <w:topLinePunct w:val="0"/>
        <w:bidi w:val="0"/>
        <w:snapToGrid/>
        <w:spacing w:beforeLines="20" w:line="360" w:lineRule="auto"/>
        <w:ind w:firstLine="480" w:firstLineChars="200"/>
        <w:rPr>
          <w:rFonts w:hint="eastAsia" w:ascii="宋体" w:hAnsi="宋体"/>
          <w:color w:val="auto"/>
          <w:sz w:val="24"/>
          <w:lang w:val="en-US" w:eastAsia="zh-CN"/>
        </w:rPr>
      </w:pPr>
      <w:r>
        <w:rPr>
          <w:rFonts w:hint="eastAsia" w:ascii="宋体" w:hAnsi="宋体" w:eastAsia="宋体" w:cs="宋体"/>
          <w:color w:val="auto"/>
          <w:sz w:val="24"/>
          <w:lang w:val="en-US" w:eastAsia="zh-CN"/>
        </w:rPr>
        <w:t>★</w:t>
      </w:r>
      <w:r>
        <w:rPr>
          <w:rFonts w:hint="eastAsia" w:ascii="宋体" w:hAnsi="宋体"/>
          <w:color w:val="auto"/>
          <w:sz w:val="24"/>
          <w:lang w:val="en-US" w:eastAsia="zh-CN"/>
        </w:rPr>
        <w:t>3、响应供应商须具备以下条件之一：①投标人具有市场监督管理局颁发的有效的《中华人民共和国特种设备安装改造修理许可证》A级。②《中华人民共和国特种设备生产许可证》许可项目：电梯安装（含修理），许可子项目包含:曳引驱动乘客电梯(含消防员电梯)A级、曳引驱动载</w:t>
      </w:r>
      <w:bookmarkStart w:id="0" w:name="_GoBack"/>
      <w:bookmarkEnd w:id="0"/>
      <w:r>
        <w:rPr>
          <w:rFonts w:hint="eastAsia" w:ascii="宋体" w:hAnsi="宋体"/>
          <w:color w:val="auto"/>
          <w:sz w:val="24"/>
          <w:lang w:val="en-US" w:eastAsia="zh-CN"/>
        </w:rPr>
        <w:t>货电梯和强制驱动载货电梯（含防爆电梯中的载货电梯）、杂物电梯（含防爆电梯中的杂物电梯）、自动扶梯与自动人行道。(投标时提供资质证书扫描件)</w:t>
      </w:r>
    </w:p>
    <w:p w14:paraId="15EC149C">
      <w:pPr>
        <w:pStyle w:val="6"/>
        <w:keepNext w:val="0"/>
        <w:keepLines w:val="0"/>
        <w:pageBreakBefore w:val="0"/>
        <w:kinsoku/>
        <w:wordWrap/>
        <w:overflowPunct/>
        <w:topLinePunct w:val="0"/>
        <w:bidi w:val="0"/>
        <w:snapToGrid/>
        <w:spacing w:line="360" w:lineRule="auto"/>
        <w:rPr>
          <w:rFonts w:hint="default" w:ascii="宋体" w:hAnsi="宋体"/>
          <w:color w:val="auto"/>
          <w:sz w:val="24"/>
          <w:lang w:val="en-US" w:eastAsia="zh-CN"/>
        </w:rPr>
      </w:pPr>
      <w:r>
        <w:rPr>
          <w:rFonts w:hint="eastAsia" w:hAnsi="宋体"/>
          <w:color w:val="auto"/>
          <w:sz w:val="24"/>
          <w:lang w:val="en-US" w:eastAsia="zh-CN"/>
        </w:rPr>
        <w:t>四、报价要求</w:t>
      </w:r>
    </w:p>
    <w:p w14:paraId="05D73782">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sz w:val="24"/>
        </w:rPr>
      </w:pPr>
      <w:r>
        <w:rPr>
          <w:rFonts w:hint="eastAsia"/>
          <w:sz w:val="24"/>
          <w:szCs w:val="24"/>
          <w:lang w:val="en-US" w:eastAsia="zh-CN"/>
        </w:rPr>
        <w:t>1、响应</w:t>
      </w:r>
      <w:r>
        <w:rPr>
          <w:rFonts w:hint="eastAsia" w:ascii="宋体" w:hAnsi="宋体" w:eastAsia="宋体"/>
          <w:sz w:val="24"/>
          <w:lang w:eastAsia="zh-CN"/>
        </w:rPr>
        <w:t>供应商</w:t>
      </w:r>
      <w:r>
        <w:rPr>
          <w:rFonts w:hint="eastAsia" w:ascii="宋体" w:hAnsi="宋体" w:eastAsia="宋体"/>
          <w:sz w:val="24"/>
        </w:rPr>
        <w:t>报价应包括标的</w:t>
      </w:r>
      <w:r>
        <w:rPr>
          <w:rFonts w:hint="eastAsia" w:ascii="宋体" w:hAnsi="宋体" w:eastAsia="宋体"/>
          <w:sz w:val="24"/>
          <w:lang w:val="en-US" w:eastAsia="zh-CN"/>
        </w:rPr>
        <w:t>服务内容、</w:t>
      </w:r>
      <w:r>
        <w:rPr>
          <w:rFonts w:hint="eastAsia" w:ascii="宋体" w:hAnsi="宋体" w:eastAsia="宋体"/>
          <w:sz w:val="24"/>
        </w:rPr>
        <w:t>配套设施、税费、运费、保险费、仓储费、安装调试、培训、质保等的全部费用，在项目实施过程中出现报价内容的任何遗漏，均由</w:t>
      </w:r>
      <w:r>
        <w:rPr>
          <w:rFonts w:hint="eastAsia" w:ascii="宋体" w:hAnsi="宋体" w:eastAsia="宋体"/>
          <w:sz w:val="24"/>
          <w:lang w:eastAsia="zh-CN"/>
        </w:rPr>
        <w:t>成交供应商</w:t>
      </w:r>
      <w:r>
        <w:rPr>
          <w:rFonts w:hint="eastAsia" w:ascii="宋体" w:hAnsi="宋体" w:eastAsia="宋体"/>
          <w:sz w:val="24"/>
        </w:rPr>
        <w:t>负责相关费用，采购人将不再支付任何费用。</w:t>
      </w:r>
    </w:p>
    <w:p w14:paraId="4B2778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宋体"/>
          <w:lang w:val="en-US" w:eastAsia="zh-CN"/>
        </w:rPr>
      </w:pPr>
      <w:r>
        <w:rPr>
          <w:rFonts w:hint="eastAsia" w:ascii="宋体" w:hAnsi="宋体"/>
          <w:sz w:val="24"/>
          <w:lang w:val="en-US" w:eastAsia="zh-CN"/>
        </w:rPr>
        <w:t>2、响应供应商应对每台电梯进行单项报价，并对配件清单进行逐项报价。</w:t>
      </w:r>
    </w:p>
    <w:p w14:paraId="6D46198E">
      <w:pPr>
        <w:keepNext w:val="0"/>
        <w:keepLines w:val="0"/>
        <w:pageBreakBefore w:val="0"/>
        <w:tabs>
          <w:tab w:val="left" w:pos="616"/>
        </w:tabs>
        <w:kinsoku/>
        <w:wordWrap/>
        <w:overflowPunct/>
        <w:topLinePunct w:val="0"/>
        <w:bidi w:val="0"/>
        <w:snapToGrid/>
        <w:spacing w:beforeLines="20" w:line="360" w:lineRule="auto"/>
        <w:rPr>
          <w:rFonts w:hint="eastAsia" w:ascii="宋体" w:hAnsi="宋体" w:eastAsia="宋体"/>
          <w:sz w:val="24"/>
          <w:lang w:eastAsia="zh-CN"/>
        </w:rPr>
      </w:pPr>
      <w:r>
        <w:rPr>
          <w:rFonts w:hint="eastAsia" w:ascii="宋体" w:hAnsi="宋体"/>
          <w:sz w:val="24"/>
          <w:lang w:val="en-US" w:eastAsia="zh-CN"/>
        </w:rPr>
        <w:t>五</w:t>
      </w:r>
      <w:r>
        <w:rPr>
          <w:rFonts w:ascii="宋体" w:hAnsi="宋体"/>
          <w:sz w:val="24"/>
        </w:rPr>
        <w:t>、服务</w:t>
      </w:r>
      <w:r>
        <w:rPr>
          <w:rFonts w:hint="eastAsia" w:ascii="宋体" w:hAnsi="宋体"/>
          <w:sz w:val="24"/>
          <w:lang w:val="en-US" w:eastAsia="zh-CN"/>
        </w:rPr>
        <w:t>内容</w:t>
      </w:r>
    </w:p>
    <w:p w14:paraId="1C982895">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★1、</w:t>
      </w:r>
      <w:r>
        <w:rPr>
          <w:rFonts w:hint="eastAsia" w:ascii="宋体" w:hAnsi="宋体"/>
          <w:sz w:val="24"/>
          <w:lang w:val="en-US" w:eastAsia="zh-CN"/>
        </w:rPr>
        <w:t>按照</w:t>
      </w:r>
      <w:r>
        <w:rPr>
          <w:rFonts w:hint="eastAsia" w:ascii="宋体" w:hAnsi="宋体"/>
          <w:sz w:val="24"/>
        </w:rPr>
        <w:t>国家有关电梯的相关规定、</w:t>
      </w:r>
      <w:r>
        <w:rPr>
          <w:rFonts w:hint="eastAsia" w:ascii="宋体" w:hAnsi="宋体"/>
          <w:color w:val="FF0000"/>
          <w:sz w:val="24"/>
        </w:rPr>
        <w:t>市场监督管理局以及质量技术管理局</w:t>
      </w:r>
      <w:r>
        <w:rPr>
          <w:rFonts w:hint="eastAsia" w:ascii="宋体" w:hAnsi="宋体"/>
          <w:sz w:val="24"/>
        </w:rPr>
        <w:t>有关电梯特种设备的相关规定及操作指引</w:t>
      </w:r>
      <w:r>
        <w:rPr>
          <w:rFonts w:hint="eastAsia" w:ascii="宋体" w:hAnsi="宋体"/>
          <w:sz w:val="24"/>
          <w:lang w:eastAsia="zh-CN"/>
        </w:rPr>
        <w:t>（</w:t>
      </w:r>
      <w:r>
        <w:rPr>
          <w:rFonts w:hint="eastAsia" w:ascii="宋体" w:hAnsi="宋体"/>
          <w:sz w:val="24"/>
          <w:lang w:val="en-US" w:eastAsia="zh-CN"/>
        </w:rPr>
        <w:t>如《电梯维护保养规则》TSG T5002-2017</w:t>
      </w:r>
      <w:r>
        <w:rPr>
          <w:rFonts w:hint="eastAsia" w:ascii="宋体" w:hAnsi="宋体"/>
          <w:sz w:val="24"/>
          <w:lang w:eastAsia="zh-CN"/>
        </w:rPr>
        <w:t>）</w:t>
      </w:r>
      <w:r>
        <w:rPr>
          <w:rFonts w:hint="eastAsia" w:ascii="宋体" w:hAnsi="宋体"/>
          <w:sz w:val="24"/>
        </w:rPr>
        <w:t>，进行电梯的维修和维护保养服务。成交</w:t>
      </w:r>
      <w:r>
        <w:rPr>
          <w:rFonts w:hint="eastAsia" w:ascii="宋体" w:hAnsi="宋体"/>
          <w:sz w:val="24"/>
          <w:lang w:val="en-US" w:eastAsia="zh-CN"/>
        </w:rPr>
        <w:t>供应商</w:t>
      </w:r>
      <w:r>
        <w:rPr>
          <w:rFonts w:hint="eastAsia" w:ascii="宋体" w:hAnsi="宋体"/>
          <w:sz w:val="24"/>
        </w:rPr>
        <w:t>提供经验丰富的专业证书的技术人员，实施科学管理方法,提高服务质量,进行操作管理、急修和维护保养电梯设备和系统。</w:t>
      </w:r>
    </w:p>
    <w:p w14:paraId="6141B224">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★2、维保服务的受理时间为:全天24小时,一年365天（含公众假期与节假目）。成交人负责按照国家相关要求对电梯进行维护保养,并派专人</w:t>
      </w:r>
      <w:r>
        <w:rPr>
          <w:rFonts w:hint="eastAsia" w:ascii="宋体" w:hAnsi="宋体"/>
          <w:sz w:val="24"/>
          <w:lang w:eastAsia="zh-CN"/>
        </w:rPr>
        <w:t>（</w:t>
      </w:r>
      <w:r>
        <w:rPr>
          <w:rFonts w:hint="eastAsia" w:ascii="宋体" w:hAnsi="宋体"/>
          <w:sz w:val="24"/>
          <w:lang w:val="en-US" w:eastAsia="zh-CN"/>
        </w:rPr>
        <w:t>1人</w:t>
      </w:r>
      <w:r>
        <w:rPr>
          <w:rFonts w:hint="eastAsia" w:ascii="宋体" w:hAnsi="宋体"/>
          <w:sz w:val="24"/>
          <w:lang w:eastAsia="zh-CN"/>
        </w:rPr>
        <w:t>）</w:t>
      </w:r>
      <w:r>
        <w:rPr>
          <w:rFonts w:hint="eastAsia" w:ascii="宋体" w:hAnsi="宋体"/>
          <w:sz w:val="24"/>
        </w:rPr>
        <w:t>常驻医院,24小时提供紧急故障处理和意外事件的技术性服务(必须提供24小时报修电话,并保持通畅,医院协助解决驻场维修人员住宿问题)。在接到招标人通知后,常驻人员在</w:t>
      </w:r>
      <w:r>
        <w:rPr>
          <w:rFonts w:hint="eastAsia" w:ascii="宋体" w:hAnsi="宋体"/>
          <w:color w:val="FF0000"/>
          <w:sz w:val="24"/>
        </w:rPr>
        <w:t>10分钟内必须到场处理</w:t>
      </w:r>
      <w:r>
        <w:rPr>
          <w:rFonts w:hint="eastAsia" w:ascii="宋体" w:hAnsi="宋体"/>
          <w:sz w:val="24"/>
        </w:rPr>
        <w:t>。常驻人员须有三年电梯维保相关工作经验,根据本地技监部门要求完成日常的电梯巡查工作,并做好相关的记录。当电梯出现困人时,驻场人员到达现场后,在安全情况下,</w:t>
      </w:r>
      <w:r>
        <w:rPr>
          <w:rFonts w:hint="eastAsia" w:ascii="宋体" w:hAnsi="宋体"/>
          <w:color w:val="FF0000"/>
          <w:sz w:val="24"/>
        </w:rPr>
        <w:t>30分钟内将被困人员解救出来</w:t>
      </w:r>
      <w:r>
        <w:rPr>
          <w:rFonts w:hint="eastAsia" w:ascii="宋体" w:hAnsi="宋体"/>
          <w:sz w:val="24"/>
        </w:rPr>
        <w:t>。</w:t>
      </w:r>
    </w:p>
    <w:p w14:paraId="542051D0">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3、本项目维保范围内涉及到的配件、备件（详见附表</w:t>
      </w:r>
      <w:r>
        <w:rPr>
          <w:rFonts w:hint="eastAsia" w:ascii="宋体" w:hAnsi="宋体"/>
          <w:sz w:val="24"/>
          <w:lang w:val="en-US" w:eastAsia="zh-CN"/>
        </w:rPr>
        <w:t>一</w:t>
      </w:r>
      <w:r>
        <w:rPr>
          <w:rFonts w:hint="eastAsia" w:ascii="宋体" w:hAnsi="宋体"/>
          <w:sz w:val="24"/>
        </w:rPr>
        <w:t>），由</w:t>
      </w:r>
      <w:r>
        <w:rPr>
          <w:rFonts w:hint="eastAsia" w:ascii="宋体" w:hAnsi="宋体"/>
          <w:sz w:val="24"/>
          <w:lang w:val="en-US" w:eastAsia="zh-CN"/>
        </w:rPr>
        <w:t>成交</w:t>
      </w:r>
      <w:r>
        <w:rPr>
          <w:rFonts w:hint="eastAsia" w:ascii="宋体" w:hAnsi="宋体"/>
          <w:sz w:val="24"/>
        </w:rPr>
        <w:t>供应商提供配件、备件的型号，报价及维修工时等相关内容，费用由采购人支付，若设备已经停产，零配件难以找到，无法维修，或设备老化严重经多次维修无法达到使用效果的，须经采购人评估同意后才能进行报废并更换设备。曳引机、电机、主机轴承及连接胶、钢丝绳、层门、轿厢等重大部件的损坏需作大修工程,电梯附加设备安装工程,由成交</w:t>
      </w:r>
      <w:r>
        <w:rPr>
          <w:rFonts w:hint="eastAsia" w:ascii="宋体" w:hAnsi="宋体"/>
          <w:sz w:val="24"/>
          <w:lang w:val="en-US" w:eastAsia="zh-CN"/>
        </w:rPr>
        <w:t>供应商</w:t>
      </w:r>
      <w:r>
        <w:rPr>
          <w:rFonts w:hint="eastAsia" w:ascii="宋体" w:hAnsi="宋体"/>
          <w:sz w:val="24"/>
        </w:rPr>
        <w:t>另外向医院作大修工时费报价、审批。</w:t>
      </w:r>
    </w:p>
    <w:p w14:paraId="4C67B80A">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4、负责建立和完善电梯系统管理的各种规章制度、维护保养制度和操作规程,建立应急预案和安全生产、危险品管理措施,井报</w:t>
      </w:r>
      <w:r>
        <w:rPr>
          <w:rFonts w:hint="eastAsia" w:ascii="宋体" w:hAnsi="宋体"/>
          <w:sz w:val="24"/>
          <w:lang w:val="en-US" w:eastAsia="zh-CN"/>
        </w:rPr>
        <w:t>采购</w:t>
      </w:r>
      <w:r>
        <w:rPr>
          <w:rFonts w:hint="eastAsia" w:ascii="宋体" w:hAnsi="宋体"/>
          <w:sz w:val="24"/>
        </w:rPr>
        <w:t>人同意后执行。</w:t>
      </w:r>
    </w:p>
    <w:p w14:paraId="26FBED02">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5、经处理后的系统或设备故障,成交</w:t>
      </w:r>
      <w:r>
        <w:rPr>
          <w:rFonts w:hint="eastAsia" w:ascii="宋体" w:hAnsi="宋体"/>
          <w:sz w:val="24"/>
          <w:lang w:val="en-US" w:eastAsia="zh-CN"/>
        </w:rPr>
        <w:t>供应商</w:t>
      </w:r>
      <w:r>
        <w:rPr>
          <w:rFonts w:hint="eastAsia" w:ascii="宋体" w:hAnsi="宋体"/>
          <w:sz w:val="24"/>
        </w:rPr>
        <w:t>应确保符合安装使用规范,如违规操作将承担因此而引起的一切责任。</w:t>
      </w:r>
    </w:p>
    <w:p w14:paraId="1B4CC1E2">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6、负责日常保养工作,每月两次</w:t>
      </w:r>
      <w:r>
        <w:rPr>
          <w:rFonts w:hint="eastAsia" w:ascii="宋体" w:hAnsi="宋体"/>
          <w:sz w:val="24"/>
          <w:lang w:eastAsia="zh-CN"/>
        </w:rPr>
        <w:t>（</w:t>
      </w:r>
      <w:r>
        <w:rPr>
          <w:rFonts w:hint="eastAsia" w:ascii="宋体" w:hAnsi="宋体"/>
          <w:sz w:val="24"/>
          <w:lang w:val="en-US" w:eastAsia="zh-CN"/>
        </w:rPr>
        <w:t>每15天</w:t>
      </w:r>
      <w:r>
        <w:rPr>
          <w:rFonts w:hint="eastAsia" w:ascii="宋体" w:hAnsi="宋体"/>
          <w:sz w:val="24"/>
          <w:lang w:eastAsia="zh-CN"/>
        </w:rPr>
        <w:t>）</w:t>
      </w:r>
      <w:r>
        <w:rPr>
          <w:rFonts w:hint="eastAsia" w:ascii="宋体" w:hAnsi="宋体"/>
          <w:sz w:val="24"/>
        </w:rPr>
        <w:t>对电梯进行符合行业安全运行标准的检测、保养。维保时须设置安全警示标志</w:t>
      </w:r>
      <w:r>
        <w:rPr>
          <w:rFonts w:hint="eastAsia" w:ascii="宋体" w:hAnsi="宋体"/>
          <w:sz w:val="24"/>
          <w:lang w:eastAsia="zh-CN"/>
        </w:rPr>
        <w:t>，</w:t>
      </w:r>
      <w:r>
        <w:rPr>
          <w:rFonts w:hint="eastAsia" w:ascii="宋体" w:hAnsi="宋体"/>
          <w:sz w:val="24"/>
        </w:rPr>
        <w:t>保养完毕后</w:t>
      </w:r>
      <w:r>
        <w:rPr>
          <w:rFonts w:hint="eastAsia" w:ascii="宋体" w:hAnsi="宋体"/>
          <w:sz w:val="24"/>
          <w:lang w:eastAsia="zh-CN"/>
        </w:rPr>
        <w:t>，</w:t>
      </w:r>
      <w:r>
        <w:rPr>
          <w:rFonts w:hint="eastAsia" w:ascii="宋体" w:hAnsi="宋体"/>
          <w:sz w:val="24"/>
        </w:rPr>
        <w:t>须将保养报告书交至相关的电梯安全管理部门签字确认井建档备查,确保电梯正常运作。</w:t>
      </w:r>
    </w:p>
    <w:p w14:paraId="2EAC447C">
      <w:pPr>
        <w:keepNext w:val="0"/>
        <w:keepLines w:val="0"/>
        <w:pageBreakBefore w:val="0"/>
        <w:tabs>
          <w:tab w:val="left" w:pos="616"/>
        </w:tabs>
        <w:kinsoku/>
        <w:wordWrap/>
        <w:overflowPunct/>
        <w:topLinePunct w:val="0"/>
        <w:bidi w:val="0"/>
        <w:snapToGrid/>
        <w:spacing w:beforeLines="20" w:line="360" w:lineRule="auto"/>
        <w:ind w:firstLine="480" w:firstLineChars="200"/>
        <w:rPr>
          <w:rFonts w:hint="default" w:ascii="宋体" w:hAnsi="宋体" w:eastAsia="宋体"/>
          <w:color w:val="FF0000"/>
          <w:sz w:val="24"/>
          <w:lang w:val="en-US" w:eastAsia="zh-CN"/>
        </w:rPr>
      </w:pPr>
      <w:r>
        <w:rPr>
          <w:rFonts w:hint="eastAsia" w:ascii="宋体" w:hAnsi="宋体"/>
          <w:sz w:val="24"/>
        </w:rPr>
        <w:t>★7、驻场值班不少于</w:t>
      </w:r>
      <w:r>
        <w:rPr>
          <w:rFonts w:hint="eastAsia" w:ascii="宋体" w:hAnsi="宋体"/>
          <w:color w:val="FF0000"/>
          <w:sz w:val="24"/>
        </w:rPr>
        <w:t>1</w:t>
      </w:r>
      <w:r>
        <w:rPr>
          <w:rFonts w:hint="eastAsia" w:ascii="宋体" w:hAnsi="宋体"/>
          <w:sz w:val="24"/>
        </w:rPr>
        <w:t>人(含公众假期与节假日),</w:t>
      </w:r>
      <w:r>
        <w:rPr>
          <w:rFonts w:hint="eastAsia" w:ascii="宋体" w:hAnsi="宋体"/>
          <w:sz w:val="24"/>
          <w:lang w:val="en-US" w:eastAsia="zh-CN"/>
        </w:rPr>
        <w:t>采购</w:t>
      </w:r>
      <w:r>
        <w:rPr>
          <w:rFonts w:hint="eastAsia" w:ascii="宋体" w:hAnsi="宋体"/>
          <w:sz w:val="24"/>
        </w:rPr>
        <w:t>人提供办公场所,水电费自理。每日定时巡查并建立巡查记录明细表,发现问题及时跟踪处理</w:t>
      </w:r>
      <w:r>
        <w:rPr>
          <w:rFonts w:hint="eastAsia" w:ascii="宋体" w:hAnsi="宋体"/>
          <w:sz w:val="24"/>
          <w:lang w:eastAsia="zh-CN"/>
        </w:rPr>
        <w:t>；</w:t>
      </w:r>
      <w:r>
        <w:rPr>
          <w:rFonts w:hint="eastAsia" w:ascii="宋体" w:hAnsi="宋体"/>
          <w:color w:val="FF0000"/>
          <w:sz w:val="24"/>
          <w:lang w:val="en-US" w:eastAsia="zh-CN"/>
        </w:rPr>
        <w:t>每日需按照医院的电梯的启停时间进行电梯的启停工作。</w:t>
      </w:r>
    </w:p>
    <w:p w14:paraId="7CE5E252">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8、</w:t>
      </w:r>
      <w:r>
        <w:rPr>
          <w:rFonts w:hint="eastAsia" w:ascii="宋体" w:hAnsi="宋体"/>
          <w:sz w:val="24"/>
          <w:lang w:val="en-US" w:eastAsia="zh-CN"/>
        </w:rPr>
        <w:t>定期</w:t>
      </w:r>
      <w:r>
        <w:rPr>
          <w:rFonts w:hint="eastAsia" w:ascii="宋体" w:hAnsi="宋体"/>
          <w:sz w:val="24"/>
        </w:rPr>
        <w:t>组织和参与电梯困人应急教援及其演练,开展电梯安全使用宣讲和培训。</w:t>
      </w:r>
    </w:p>
    <w:p w14:paraId="5B7C99C7">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★9、现场作业人员不得少于两人</w:t>
      </w:r>
      <w:r>
        <w:rPr>
          <w:rFonts w:hint="eastAsia" w:ascii="宋体" w:hAnsi="宋体"/>
          <w:sz w:val="24"/>
          <w:lang w:eastAsia="zh-CN"/>
        </w:rPr>
        <w:t>，</w:t>
      </w:r>
      <w:r>
        <w:rPr>
          <w:rFonts w:hint="eastAsia" w:ascii="宋体" w:hAnsi="宋体"/>
          <w:sz w:val="24"/>
        </w:rPr>
        <w:t>且应当取得相应的《特种设备作业人员证》。</w:t>
      </w:r>
    </w:p>
    <w:p w14:paraId="5EE2890B">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10、每月提供电梯维保计划并经</w:t>
      </w:r>
      <w:r>
        <w:rPr>
          <w:rFonts w:hint="eastAsia" w:ascii="宋体" w:hAnsi="宋体"/>
          <w:sz w:val="24"/>
          <w:lang w:val="en-US" w:eastAsia="zh-CN"/>
        </w:rPr>
        <w:t>采购</w:t>
      </w:r>
      <w:r>
        <w:rPr>
          <w:rFonts w:hint="eastAsia" w:ascii="宋体" w:hAnsi="宋体"/>
          <w:sz w:val="24"/>
        </w:rPr>
        <w:t>人审核执行,电梯</w:t>
      </w:r>
      <w:r>
        <w:rPr>
          <w:rFonts w:hint="eastAsia" w:ascii="宋体" w:hAnsi="宋体" w:cs="宋体"/>
          <w:sz w:val="24"/>
        </w:rPr>
        <w:t>維</w:t>
      </w:r>
      <w:r>
        <w:rPr>
          <w:rFonts w:hint="eastAsia" w:ascii="宋体" w:hAnsi="宋体" w:cs="仿宋_GB2312"/>
          <w:sz w:val="24"/>
        </w:rPr>
        <w:t>保</w:t>
      </w:r>
      <w:r>
        <w:rPr>
          <w:rFonts w:hint="eastAsia" w:ascii="宋体" w:hAnsi="宋体"/>
          <w:sz w:val="24"/>
        </w:rPr>
        <w:t>,维修作业时必须报备,不得影响正常次序。同时向</w:t>
      </w:r>
      <w:r>
        <w:rPr>
          <w:rFonts w:hint="eastAsia" w:ascii="宋体" w:hAnsi="宋体"/>
          <w:sz w:val="24"/>
          <w:lang w:val="en-US" w:eastAsia="zh-CN"/>
        </w:rPr>
        <w:t>采购</w:t>
      </w:r>
      <w:r>
        <w:rPr>
          <w:rFonts w:hint="eastAsia" w:ascii="宋体" w:hAnsi="宋体"/>
          <w:sz w:val="24"/>
        </w:rPr>
        <w:t>人提出合理化建议并每半个月需向</w:t>
      </w:r>
      <w:r>
        <w:rPr>
          <w:rFonts w:hint="eastAsia" w:ascii="宋体" w:hAnsi="宋体"/>
          <w:sz w:val="24"/>
          <w:lang w:val="en-US" w:eastAsia="zh-CN"/>
        </w:rPr>
        <w:t>采购</w:t>
      </w:r>
      <w:r>
        <w:rPr>
          <w:rFonts w:hint="eastAsia" w:ascii="宋体" w:hAnsi="宋体"/>
          <w:sz w:val="24"/>
        </w:rPr>
        <w:t>人书面报告所维护保养电梯的运行情况、安全防控措施、零部件使用情况、易损件的更换情况及电梯更</w:t>
      </w:r>
      <w:r>
        <w:rPr>
          <w:rFonts w:hint="eastAsia" w:ascii="宋体" w:hAnsi="宋体" w:cs="宋体"/>
          <w:sz w:val="24"/>
        </w:rPr>
        <w:t>換</w:t>
      </w:r>
      <w:r>
        <w:rPr>
          <w:rFonts w:hint="eastAsia" w:ascii="宋体" w:hAnsi="宋体" w:cs="仿宋_GB2312"/>
          <w:sz w:val="24"/>
        </w:rPr>
        <w:t>修理需求</w:t>
      </w:r>
      <w:r>
        <w:rPr>
          <w:rFonts w:hint="eastAsia" w:ascii="宋体" w:hAnsi="宋体"/>
          <w:sz w:val="24"/>
        </w:rPr>
        <w:t>,电梯故障记录以及电梯困人书面总结报告。</w:t>
      </w:r>
    </w:p>
    <w:p w14:paraId="49DBDF75">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11、妥善保管电梯图纸及相关资料,并在合同终止后交给</w:t>
      </w:r>
      <w:r>
        <w:rPr>
          <w:rFonts w:hint="eastAsia" w:ascii="宋体" w:hAnsi="宋体"/>
          <w:sz w:val="24"/>
          <w:lang w:val="en-US" w:eastAsia="zh-CN"/>
        </w:rPr>
        <w:t>采购</w:t>
      </w:r>
      <w:r>
        <w:rPr>
          <w:rFonts w:hint="eastAsia" w:ascii="宋体" w:hAnsi="宋体"/>
          <w:sz w:val="24"/>
        </w:rPr>
        <w:t>人。</w:t>
      </w:r>
    </w:p>
    <w:p w14:paraId="0A0DBBC2">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1</w:t>
      </w:r>
      <w:r>
        <w:rPr>
          <w:rFonts w:hint="eastAsia" w:ascii="宋体" w:hAnsi="宋体"/>
          <w:sz w:val="24"/>
          <w:lang w:val="en-US" w:eastAsia="zh-CN"/>
        </w:rPr>
        <w:t>2</w:t>
      </w:r>
      <w:r>
        <w:rPr>
          <w:rFonts w:hint="eastAsia" w:ascii="宋体" w:hAnsi="宋体"/>
          <w:sz w:val="24"/>
        </w:rPr>
        <w:t>、所有电梯资料(含维修保养资料)需交</w:t>
      </w:r>
      <w:r>
        <w:rPr>
          <w:rFonts w:hint="eastAsia" w:ascii="宋体" w:hAnsi="宋体"/>
          <w:sz w:val="24"/>
          <w:lang w:val="en-US" w:eastAsia="zh-CN"/>
        </w:rPr>
        <w:t>采购</w:t>
      </w:r>
      <w:r>
        <w:rPr>
          <w:rFonts w:hint="eastAsia" w:ascii="宋体" w:hAnsi="宋体"/>
          <w:sz w:val="24"/>
        </w:rPr>
        <w:t>人备份存档。</w:t>
      </w:r>
    </w:p>
    <w:p w14:paraId="4F44C579">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1</w:t>
      </w:r>
      <w:r>
        <w:rPr>
          <w:rFonts w:hint="eastAsia" w:ascii="宋体" w:hAnsi="宋体"/>
          <w:sz w:val="24"/>
          <w:lang w:val="en-US" w:eastAsia="zh-CN"/>
        </w:rPr>
        <w:t>3</w:t>
      </w:r>
      <w:r>
        <w:rPr>
          <w:rFonts w:hint="eastAsia" w:ascii="宋体" w:hAnsi="宋体"/>
          <w:sz w:val="24"/>
        </w:rPr>
        <w:t>、成交</w:t>
      </w:r>
      <w:r>
        <w:rPr>
          <w:rFonts w:hint="eastAsia" w:ascii="宋体" w:hAnsi="宋体"/>
          <w:sz w:val="24"/>
          <w:lang w:val="en-US" w:eastAsia="zh-CN"/>
        </w:rPr>
        <w:t>供应商</w:t>
      </w:r>
      <w:r>
        <w:rPr>
          <w:rFonts w:hint="eastAsia" w:ascii="宋体" w:hAnsi="宋体"/>
          <w:sz w:val="24"/>
        </w:rPr>
        <w:t>违反</w:t>
      </w:r>
      <w:r>
        <w:rPr>
          <w:rFonts w:hint="eastAsia" w:ascii="宋体" w:hAnsi="宋体"/>
          <w:sz w:val="24"/>
          <w:lang w:val="en-US" w:eastAsia="zh-CN"/>
        </w:rPr>
        <w:t>采购</w:t>
      </w:r>
      <w:r>
        <w:rPr>
          <w:rFonts w:hint="eastAsia" w:ascii="宋体" w:hAnsi="宋体"/>
          <w:sz w:val="24"/>
        </w:rPr>
        <w:t>人有关管理制度或因成交</w:t>
      </w:r>
      <w:r>
        <w:rPr>
          <w:rFonts w:hint="eastAsia" w:ascii="宋体" w:hAnsi="宋体"/>
          <w:sz w:val="24"/>
          <w:lang w:val="en-US" w:eastAsia="zh-CN"/>
        </w:rPr>
        <w:t>供应商</w:t>
      </w:r>
      <w:r>
        <w:rPr>
          <w:rFonts w:hint="eastAsia" w:ascii="宋体" w:hAnsi="宋体"/>
          <w:sz w:val="24"/>
        </w:rPr>
        <w:t>服务态度、服务质量及其他原因导致用户有效投诉的,</w:t>
      </w:r>
      <w:r>
        <w:rPr>
          <w:rFonts w:hint="eastAsia" w:ascii="宋体" w:hAnsi="宋体"/>
          <w:sz w:val="24"/>
          <w:lang w:val="en-US" w:eastAsia="zh-CN"/>
        </w:rPr>
        <w:t>采购</w:t>
      </w:r>
      <w:r>
        <w:rPr>
          <w:rFonts w:hint="eastAsia" w:ascii="宋体" w:hAnsi="宋体"/>
          <w:sz w:val="24"/>
        </w:rPr>
        <w:t>人有权要求成交</w:t>
      </w:r>
      <w:r>
        <w:rPr>
          <w:rFonts w:hint="eastAsia" w:ascii="宋体" w:hAnsi="宋体"/>
          <w:sz w:val="24"/>
          <w:lang w:val="en-US" w:eastAsia="zh-CN"/>
        </w:rPr>
        <w:t>供应商</w:t>
      </w:r>
      <w:r>
        <w:rPr>
          <w:rFonts w:hint="eastAsia" w:ascii="宋体" w:hAnsi="宋体"/>
          <w:sz w:val="24"/>
        </w:rPr>
        <w:t>限期整改。</w:t>
      </w:r>
    </w:p>
    <w:p w14:paraId="7D7DB6AC">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1</w:t>
      </w:r>
      <w:r>
        <w:rPr>
          <w:rFonts w:hint="eastAsia" w:ascii="宋体" w:hAnsi="宋体"/>
          <w:sz w:val="24"/>
          <w:lang w:val="en-US" w:eastAsia="zh-CN"/>
        </w:rPr>
        <w:t>4</w:t>
      </w:r>
      <w:r>
        <w:rPr>
          <w:rFonts w:hint="eastAsia" w:ascii="宋体" w:hAnsi="宋体"/>
          <w:sz w:val="24"/>
        </w:rPr>
        <w:t>、成交</w:t>
      </w:r>
      <w:r>
        <w:rPr>
          <w:rFonts w:hint="eastAsia" w:ascii="宋体" w:hAnsi="宋体"/>
          <w:sz w:val="24"/>
          <w:lang w:val="en-US" w:eastAsia="zh-CN"/>
        </w:rPr>
        <w:t>供应商</w:t>
      </w:r>
      <w:r>
        <w:rPr>
          <w:rFonts w:hint="eastAsia" w:ascii="宋体" w:hAnsi="宋体"/>
          <w:sz w:val="24"/>
        </w:rPr>
        <w:t>配合</w:t>
      </w:r>
      <w:r>
        <w:rPr>
          <w:rFonts w:hint="eastAsia" w:ascii="宋体" w:hAnsi="宋体"/>
          <w:sz w:val="24"/>
          <w:lang w:val="en-US" w:eastAsia="zh-CN"/>
        </w:rPr>
        <w:t>采购</w:t>
      </w:r>
      <w:r>
        <w:rPr>
          <w:rFonts w:hint="eastAsia" w:ascii="宋体" w:hAnsi="宋体"/>
          <w:sz w:val="24"/>
        </w:rPr>
        <w:t>人不定期抽检</w:t>
      </w:r>
      <w:r>
        <w:rPr>
          <w:rFonts w:hint="eastAsia" w:ascii="宋体" w:hAnsi="宋体"/>
          <w:sz w:val="24"/>
          <w:lang w:val="en-US" w:eastAsia="zh-CN"/>
        </w:rPr>
        <w:t>采购</w:t>
      </w:r>
      <w:r>
        <w:rPr>
          <w:rFonts w:hint="eastAsia" w:ascii="宋体" w:hAnsi="宋体"/>
          <w:sz w:val="24"/>
        </w:rPr>
        <w:t>人根据成交</w:t>
      </w:r>
      <w:r>
        <w:rPr>
          <w:rFonts w:hint="eastAsia" w:ascii="宋体" w:hAnsi="宋体"/>
          <w:sz w:val="24"/>
          <w:lang w:val="en-US" w:eastAsia="zh-CN"/>
        </w:rPr>
        <w:t>供应商</w:t>
      </w:r>
      <w:r>
        <w:rPr>
          <w:rFonts w:hint="eastAsia" w:ascii="宋体" w:hAnsi="宋体"/>
          <w:sz w:val="24"/>
        </w:rPr>
        <w:t>提供《电梯维保计划表》实施维保后进行抽查,如发现成交</w:t>
      </w:r>
      <w:r>
        <w:rPr>
          <w:rFonts w:hint="eastAsia" w:ascii="宋体" w:hAnsi="宋体"/>
          <w:sz w:val="24"/>
          <w:lang w:val="en-US" w:eastAsia="zh-CN"/>
        </w:rPr>
        <w:t>供应商</w:t>
      </w:r>
      <w:r>
        <w:rPr>
          <w:rFonts w:hint="eastAsia" w:ascii="宋体" w:hAnsi="宋体"/>
          <w:sz w:val="24"/>
        </w:rPr>
        <w:t>未履行合同义务,</w:t>
      </w:r>
      <w:r>
        <w:rPr>
          <w:rFonts w:hint="eastAsia" w:ascii="宋体" w:hAnsi="宋体"/>
          <w:sz w:val="24"/>
          <w:lang w:val="en-US" w:eastAsia="zh-CN"/>
        </w:rPr>
        <w:t>采购</w:t>
      </w:r>
      <w:r>
        <w:rPr>
          <w:rFonts w:hint="eastAsia" w:ascii="宋体" w:hAnsi="宋体"/>
          <w:sz w:val="24"/>
        </w:rPr>
        <w:t>人有权对成交</w:t>
      </w:r>
      <w:r>
        <w:rPr>
          <w:rFonts w:hint="eastAsia" w:ascii="宋体" w:hAnsi="宋体"/>
          <w:sz w:val="24"/>
          <w:lang w:val="en-US" w:eastAsia="zh-CN"/>
        </w:rPr>
        <w:t>供应商</w:t>
      </w:r>
      <w:r>
        <w:rPr>
          <w:rFonts w:hint="eastAsia" w:ascii="宋体" w:hAnsi="宋体"/>
          <w:sz w:val="24"/>
        </w:rPr>
        <w:t>做出相应的处罚。</w:t>
      </w:r>
    </w:p>
    <w:p w14:paraId="50625E84">
      <w:pPr>
        <w:keepNext w:val="0"/>
        <w:keepLines w:val="0"/>
        <w:pageBreakBefore w:val="0"/>
        <w:tabs>
          <w:tab w:val="left" w:pos="616"/>
        </w:tabs>
        <w:kinsoku/>
        <w:wordWrap/>
        <w:overflowPunct/>
        <w:topLinePunct w:val="0"/>
        <w:bidi w:val="0"/>
        <w:snapToGrid/>
        <w:spacing w:beforeLines="20" w:line="360" w:lineRule="auto"/>
        <w:rPr>
          <w:rFonts w:hint="default" w:ascii="宋体" w:hAnsi="宋体" w:eastAsia="宋体"/>
          <w:sz w:val="24"/>
          <w:lang w:val="en-US" w:eastAsia="zh-CN"/>
        </w:rPr>
      </w:pPr>
      <w:r>
        <w:rPr>
          <w:rFonts w:hint="eastAsia" w:ascii="宋体" w:hAnsi="宋体"/>
          <w:sz w:val="24"/>
          <w:lang w:val="en-US" w:eastAsia="zh-CN"/>
        </w:rPr>
        <w:t>六</w:t>
      </w:r>
      <w:r>
        <w:rPr>
          <w:rFonts w:hint="eastAsia" w:ascii="宋体" w:hAnsi="宋体"/>
          <w:sz w:val="24"/>
        </w:rPr>
        <w:t>、工作质量要求</w:t>
      </w:r>
      <w:r>
        <w:rPr>
          <w:rFonts w:hint="eastAsia" w:ascii="宋体" w:hAnsi="宋体"/>
          <w:sz w:val="24"/>
          <w:lang w:val="en-US" w:eastAsia="zh-CN"/>
        </w:rPr>
        <w:t>及服务质量监管</w:t>
      </w:r>
    </w:p>
    <w:p w14:paraId="0112B799">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1、</w:t>
      </w:r>
      <w:r>
        <w:rPr>
          <w:rFonts w:hint="eastAsia" w:ascii="宋体" w:hAnsi="宋体"/>
          <w:sz w:val="24"/>
          <w:lang w:val="en-US" w:eastAsia="zh-CN"/>
        </w:rPr>
        <w:t>成交供应商应委派固定的具备相关资质专业技术人员并持证上岗驻场负责采购人的电梯维保工作，成交供应商必须将公司资质证书复印件和技术人员上岗证复印件交给采购人存档备案：如果遇到驻守维保人员无法解决的问题时，成交供应商应尽一切能力为本项目提供技术和设备支持</w:t>
      </w:r>
      <w:r>
        <w:rPr>
          <w:rFonts w:hint="eastAsia" w:ascii="宋体" w:hAnsi="宋体"/>
          <w:sz w:val="24"/>
        </w:rPr>
        <w:t>。</w:t>
      </w:r>
    </w:p>
    <w:p w14:paraId="5D7C9559">
      <w:pPr>
        <w:keepNext w:val="0"/>
        <w:keepLines w:val="0"/>
        <w:pageBreakBefore w:val="0"/>
        <w:tabs>
          <w:tab w:val="left" w:pos="616"/>
        </w:tabs>
        <w:kinsoku/>
        <w:wordWrap/>
        <w:overflowPunct/>
        <w:topLinePunct w:val="0"/>
        <w:bidi w:val="0"/>
        <w:snapToGrid/>
        <w:spacing w:beforeLines="20" w:line="360" w:lineRule="auto"/>
        <w:ind w:firstLine="480" w:firstLineChars="200"/>
        <w:rPr>
          <w:rFonts w:hint="eastAsia" w:ascii="宋体" w:hAnsi="宋体"/>
          <w:sz w:val="24"/>
          <w:lang w:val="en-US" w:eastAsia="zh-CN"/>
        </w:rPr>
      </w:pPr>
      <w:r>
        <w:rPr>
          <w:rFonts w:hint="eastAsia" w:ascii="宋体" w:hAnsi="宋体"/>
          <w:sz w:val="24"/>
        </w:rPr>
        <w:t>2、</w:t>
      </w:r>
      <w:r>
        <w:rPr>
          <w:rFonts w:hint="eastAsia" w:ascii="宋体" w:hAnsi="宋体"/>
          <w:sz w:val="24"/>
          <w:lang w:val="en-US" w:eastAsia="zh-CN"/>
        </w:rPr>
        <w:t>成交供应商应确保维保人员的稳定性，经采购人认可的维保人员不得所以频繁更换，如因成交供应商原因需要更换的，需向采购人提出书面更换申请并经采购人同意后方可进行更换，且不得影响维保服务工作的正常开展。</w:t>
      </w:r>
    </w:p>
    <w:p w14:paraId="70D3563A">
      <w:pPr>
        <w:keepNext w:val="0"/>
        <w:keepLines w:val="0"/>
        <w:pageBreakBefore w:val="0"/>
        <w:tabs>
          <w:tab w:val="left" w:pos="616"/>
        </w:tabs>
        <w:kinsoku/>
        <w:wordWrap/>
        <w:overflowPunct/>
        <w:topLinePunct w:val="0"/>
        <w:bidi w:val="0"/>
        <w:snapToGrid/>
        <w:spacing w:beforeLines="20" w:line="360" w:lineRule="auto"/>
        <w:ind w:firstLine="480" w:firstLineChars="200"/>
        <w:rPr>
          <w:rFonts w:hint="default" w:ascii="宋体" w:hAnsi="宋体"/>
          <w:sz w:val="24"/>
          <w:lang w:val="en-US" w:eastAsia="zh-CN"/>
        </w:rPr>
      </w:pPr>
      <w:r>
        <w:rPr>
          <w:rFonts w:hint="eastAsia" w:ascii="宋体" w:hAnsi="宋体"/>
          <w:sz w:val="24"/>
          <w:lang w:val="en-US" w:eastAsia="zh-CN"/>
        </w:rPr>
        <w:t>3、不能胜任的维保人员应及时更换。如果成交供应商委派的维保人员不符合要求（有事实依据证明不能胜任该岗位）的，采购人有权要求成交供应商更换维保人员至合格为止。成交供应商接到采购人书面换人通知后，应在1周内更换合格的维保人员到位，逾期不更换或更换的维保人员不符合要求，乙方有权扣减该月维保费用，直至合格人员到位为止。</w:t>
      </w:r>
      <w:r>
        <w:rPr>
          <w:rFonts w:hint="eastAsia" w:ascii="宋体" w:hAnsi="宋体" w:eastAsia="宋体" w:cs="Times New Roman"/>
          <w:kern w:val="2"/>
          <w:sz w:val="24"/>
          <w:szCs w:val="24"/>
          <w:lang w:val="en-US" w:eastAsia="zh-CN" w:bidi="ar-SA"/>
        </w:rPr>
        <w:t>第一次发现扣罚</w:t>
      </w: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00元，第二次发现2倍扣罚（扣罚金额</w:t>
      </w: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00元），第三次发现3倍扣罚（扣罚金额</w:t>
      </w:r>
      <w:r>
        <w:rPr>
          <w:rFonts w:hint="eastAsia" w:ascii="宋体" w:hAnsi="宋体" w:cs="Times New Roman"/>
          <w:kern w:val="2"/>
          <w:sz w:val="24"/>
          <w:szCs w:val="24"/>
          <w:lang w:val="en-US" w:eastAsia="zh-CN" w:bidi="ar-SA"/>
        </w:rPr>
        <w:t>4</w:t>
      </w:r>
      <w:r>
        <w:rPr>
          <w:rFonts w:hint="eastAsia" w:ascii="宋体" w:hAnsi="宋体" w:eastAsia="宋体" w:cs="Times New Roman"/>
          <w:kern w:val="2"/>
          <w:sz w:val="24"/>
          <w:szCs w:val="24"/>
          <w:lang w:val="en-US" w:eastAsia="zh-CN" w:bidi="ar-SA"/>
        </w:rPr>
        <w:t>00元），以此类推。</w:t>
      </w:r>
    </w:p>
    <w:p w14:paraId="63AD478F">
      <w:pPr>
        <w:keepNext w:val="0"/>
        <w:keepLines w:val="0"/>
        <w:pageBreakBefore w:val="0"/>
        <w:tabs>
          <w:tab w:val="left" w:pos="616"/>
        </w:tabs>
        <w:kinsoku/>
        <w:wordWrap/>
        <w:overflowPunct/>
        <w:topLinePunct w:val="0"/>
        <w:bidi w:val="0"/>
        <w:snapToGrid/>
        <w:spacing w:beforeLines="20" w:line="360" w:lineRule="auto"/>
        <w:ind w:firstLine="480" w:firstLineChars="200"/>
        <w:rPr>
          <w:rFonts w:hint="default" w:ascii="宋体" w:hAnsi="宋体"/>
          <w:sz w:val="24"/>
          <w:lang w:val="en-US" w:eastAsia="zh-CN"/>
        </w:rPr>
      </w:pPr>
      <w:r>
        <w:rPr>
          <w:rFonts w:hint="eastAsia" w:ascii="宋体" w:hAnsi="宋体"/>
          <w:sz w:val="24"/>
          <w:lang w:val="en-US" w:eastAsia="zh-CN"/>
        </w:rPr>
        <w:t>4、通过有计划的巡查、检修、保养，保证电梯工作寿命及其各部件在良性循环状态下运作，及时更换已磨损的零部件，已预防故障尤其是困人故障的发生，杜绝安全隐患。</w:t>
      </w:r>
    </w:p>
    <w:p w14:paraId="140E13B9">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lang w:val="en-US" w:eastAsia="zh-CN"/>
        </w:rPr>
        <w:t>5</w:t>
      </w:r>
      <w:r>
        <w:rPr>
          <w:rFonts w:hint="eastAsia" w:ascii="宋体" w:hAnsi="宋体"/>
          <w:sz w:val="24"/>
        </w:rPr>
        <w:t>、为了确保电梯安全运行并顺利通过质量技术监督局的年度检查,取得使用许可合格证。年审费用首次由医院支付。所有复检费用均由成交</w:t>
      </w:r>
      <w:r>
        <w:rPr>
          <w:rFonts w:hint="eastAsia" w:ascii="宋体" w:hAnsi="宋体"/>
          <w:sz w:val="24"/>
          <w:lang w:val="en-US" w:eastAsia="zh-CN"/>
        </w:rPr>
        <w:t>供应商</w:t>
      </w:r>
      <w:r>
        <w:rPr>
          <w:rFonts w:hint="eastAsia" w:ascii="宋体" w:hAnsi="宋体"/>
          <w:sz w:val="24"/>
        </w:rPr>
        <w:t>负责。成交</w:t>
      </w:r>
      <w:r>
        <w:rPr>
          <w:rFonts w:hint="eastAsia" w:ascii="宋体" w:hAnsi="宋体"/>
          <w:sz w:val="24"/>
          <w:lang w:val="en-US" w:eastAsia="zh-CN"/>
        </w:rPr>
        <w:t>供应商</w:t>
      </w:r>
      <w:r>
        <w:rPr>
          <w:rFonts w:hint="eastAsia" w:ascii="宋体" w:hAnsi="宋体"/>
          <w:sz w:val="24"/>
        </w:rPr>
        <w:t>须在年检年审前对电梯设备进行全面检查，及时提醒</w:t>
      </w:r>
      <w:r>
        <w:rPr>
          <w:rFonts w:hint="eastAsia" w:ascii="宋体" w:hAnsi="宋体"/>
          <w:sz w:val="24"/>
          <w:lang w:val="en-US" w:eastAsia="zh-CN"/>
        </w:rPr>
        <w:t>采购</w:t>
      </w:r>
      <w:r>
        <w:rPr>
          <w:rFonts w:hint="eastAsia" w:ascii="宋体" w:hAnsi="宋体"/>
          <w:sz w:val="24"/>
        </w:rPr>
        <w:t>人电梯安检使用许可证期限和保险期限,落实相关整改意见，以书面形式通知使用单位，并协助质量技术监督部门进行年检等技术性工作，确保电梯通过年检。</w:t>
      </w:r>
    </w:p>
    <w:p w14:paraId="1F42584E">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lang w:val="en-US" w:eastAsia="zh-CN"/>
        </w:rPr>
        <w:t>6</w:t>
      </w:r>
      <w:r>
        <w:rPr>
          <w:rFonts w:hint="eastAsia" w:ascii="宋体" w:hAnsi="宋体"/>
          <w:sz w:val="24"/>
        </w:rPr>
        <w:t>、</w:t>
      </w:r>
      <w:r>
        <w:rPr>
          <w:rFonts w:hint="eastAsia" w:ascii="宋体" w:hAnsi="宋体"/>
          <w:sz w:val="24"/>
          <w:lang w:val="en-US" w:eastAsia="zh-CN"/>
        </w:rPr>
        <w:t>成交供应商员工的</w:t>
      </w:r>
      <w:r>
        <w:rPr>
          <w:rFonts w:hint="eastAsia" w:ascii="宋体" w:hAnsi="宋体"/>
          <w:sz w:val="24"/>
        </w:rPr>
        <w:t>服务态度、服务效率、服务水平、质量方面满意度必须达到三甲医院及相关部门检查要求。</w:t>
      </w:r>
    </w:p>
    <w:p w14:paraId="45ED160D">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lang w:val="en-US" w:eastAsia="zh-CN"/>
        </w:rPr>
        <w:t>7</w:t>
      </w:r>
      <w:r>
        <w:rPr>
          <w:rFonts w:hint="eastAsia" w:ascii="宋体" w:hAnsi="宋体"/>
          <w:sz w:val="24"/>
        </w:rPr>
        <w:t>、一旦发生电梯故障或运行不正常,需要支援时,</w:t>
      </w:r>
      <w:r>
        <w:rPr>
          <w:rFonts w:hint="eastAsia" w:ascii="宋体" w:hAnsi="宋体"/>
          <w:sz w:val="24"/>
          <w:lang w:val="en-US" w:eastAsia="zh-CN"/>
        </w:rPr>
        <w:t>成交供应商</w:t>
      </w:r>
      <w:r>
        <w:rPr>
          <w:rFonts w:hint="eastAsia" w:ascii="宋体" w:hAnsi="宋体"/>
          <w:sz w:val="24"/>
        </w:rPr>
        <w:t>支援急修人员必须在30分钟（从电梯故障时算起）内到达故障现场予以处理，维修时须设置护栏做好现场围蔽工作。</w:t>
      </w:r>
    </w:p>
    <w:p w14:paraId="62B1AAA7">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lang w:val="en-US" w:eastAsia="zh-CN"/>
        </w:rPr>
        <w:t>8</w:t>
      </w:r>
      <w:r>
        <w:rPr>
          <w:rFonts w:hint="eastAsia" w:ascii="宋体" w:hAnsi="宋体"/>
          <w:sz w:val="24"/>
        </w:rPr>
        <w:t>、</w:t>
      </w:r>
      <w:r>
        <w:rPr>
          <w:rFonts w:hint="eastAsia" w:ascii="宋体" w:hAnsi="宋体"/>
          <w:sz w:val="24"/>
          <w:lang w:val="en-US" w:eastAsia="zh-CN"/>
        </w:rPr>
        <w:t>成交供应商</w:t>
      </w:r>
      <w:r>
        <w:rPr>
          <w:rFonts w:hint="eastAsia" w:ascii="宋体" w:hAnsi="宋体"/>
          <w:sz w:val="24"/>
        </w:rPr>
        <w:t>建立健全规范的电梯设备档案和管理，记录电梯的运行状态、故障次数、维修次数等重要数据,为电梯建立运行档案。</w:t>
      </w:r>
    </w:p>
    <w:p w14:paraId="3FD4EE08">
      <w:pPr>
        <w:keepNext w:val="0"/>
        <w:keepLines w:val="0"/>
        <w:pageBreakBefore w:val="0"/>
        <w:tabs>
          <w:tab w:val="left" w:pos="616"/>
        </w:tabs>
        <w:kinsoku/>
        <w:wordWrap/>
        <w:overflowPunct/>
        <w:topLinePunct w:val="0"/>
        <w:bidi w:val="0"/>
        <w:snapToGrid/>
        <w:spacing w:beforeLines="20" w:line="360" w:lineRule="auto"/>
        <w:ind w:firstLine="480" w:firstLineChars="200"/>
        <w:rPr>
          <w:rFonts w:hint="eastAsia" w:ascii="宋体" w:hAnsi="宋体"/>
          <w:sz w:val="24"/>
        </w:rPr>
      </w:pPr>
      <w:r>
        <w:rPr>
          <w:rFonts w:hint="eastAsia" w:ascii="宋体" w:hAnsi="宋体"/>
          <w:sz w:val="24"/>
          <w:lang w:val="en-US" w:eastAsia="zh-CN"/>
        </w:rPr>
        <w:t>9</w:t>
      </w:r>
      <w:r>
        <w:rPr>
          <w:rFonts w:hint="eastAsia" w:ascii="宋体" w:hAnsi="宋体"/>
          <w:sz w:val="24"/>
        </w:rPr>
        <w:t>、电梯解困按照国家相关规定以及</w:t>
      </w:r>
      <w:r>
        <w:rPr>
          <w:rFonts w:hint="eastAsia" w:ascii="宋体" w:hAnsi="宋体"/>
          <w:sz w:val="24"/>
          <w:lang w:val="en-US" w:eastAsia="zh-CN"/>
        </w:rPr>
        <w:t>采购人</w:t>
      </w:r>
      <w:r>
        <w:rPr>
          <w:rFonts w:hint="eastAsia" w:ascii="宋体" w:hAnsi="宋体"/>
          <w:sz w:val="24"/>
        </w:rPr>
        <w:t>有关电梯乘客处置应急预案等规定执行。</w:t>
      </w:r>
    </w:p>
    <w:p w14:paraId="42CD9C8F">
      <w:pPr>
        <w:keepNext w:val="0"/>
        <w:keepLines w:val="0"/>
        <w:pageBreakBefore w:val="0"/>
        <w:tabs>
          <w:tab w:val="left" w:pos="616"/>
        </w:tabs>
        <w:kinsoku/>
        <w:wordWrap/>
        <w:overflowPunct/>
        <w:topLinePunct w:val="0"/>
        <w:bidi w:val="0"/>
        <w:snapToGrid/>
        <w:spacing w:beforeLines="20" w:line="360" w:lineRule="auto"/>
        <w:ind w:firstLine="480" w:firstLineChars="200"/>
        <w:rPr>
          <w:rFonts w:hint="eastAsia" w:ascii="宋体" w:hAnsi="宋体"/>
          <w:sz w:val="24"/>
          <w:lang w:val="en-US" w:eastAsia="zh-CN"/>
        </w:rPr>
      </w:pPr>
      <w:r>
        <w:rPr>
          <w:rFonts w:hint="eastAsia" w:ascii="宋体" w:hAnsi="宋体"/>
          <w:sz w:val="24"/>
          <w:lang w:val="en-US" w:eastAsia="zh-CN"/>
        </w:rPr>
        <w:t>10、由采购人每月对成交供应商的服务质量进行监督考核（详见附表二《电梯维保保养服务质量考评表》），考核结果与当月的服务费挂钩，成交供应商应积极配合采购人的监督和考评，不得以任何理由拒绝或阻挠采购人的考核。</w:t>
      </w:r>
    </w:p>
    <w:p w14:paraId="3A604C17">
      <w:pPr>
        <w:keepNext w:val="0"/>
        <w:keepLines w:val="0"/>
        <w:pageBreakBefore w:val="0"/>
        <w:tabs>
          <w:tab w:val="left" w:pos="616"/>
        </w:tabs>
        <w:kinsoku/>
        <w:wordWrap/>
        <w:overflowPunct/>
        <w:topLinePunct w:val="0"/>
        <w:bidi w:val="0"/>
        <w:snapToGrid/>
        <w:spacing w:beforeLines="20" w:line="360" w:lineRule="auto"/>
        <w:ind w:firstLine="480" w:firstLineChars="200"/>
        <w:rPr>
          <w:rFonts w:hint="eastAsia" w:ascii="宋体" w:hAnsi="宋体"/>
          <w:sz w:val="24"/>
          <w:lang w:val="en-US" w:eastAsia="zh-CN"/>
        </w:rPr>
      </w:pPr>
      <w:r>
        <w:rPr>
          <w:rFonts w:hint="eastAsia" w:ascii="宋体" w:hAnsi="宋体"/>
          <w:sz w:val="24"/>
          <w:lang w:val="en-US" w:eastAsia="zh-CN"/>
        </w:rPr>
        <w:t>11、考评要求：考评总分为100分，考评分按实际考评得分计算。考核结果≥90分的为合格；考核结果为80-89分的，成交供应商应对存在的问题限时整改，同一问题连续出现两次的，采购人有权对成交供应商按500元/分进行扣罚；考核结果为70-79分的，采购人有权对成交供应商按1000元/分进行扣罚，如果成交供应商连续2个月服务质量低于75分或因成交供应商的责任发生安全事件且造成严重后果的，采购人有权拒绝支付服务费且单方提前终止合同，并继续追究成交供应商相关责任。</w:t>
      </w:r>
    </w:p>
    <w:p w14:paraId="14725497">
      <w:pPr>
        <w:pStyle w:val="6"/>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baseline"/>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w:t>
      </w:r>
      <w:r>
        <w:rPr>
          <w:rFonts w:hint="eastAsia"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、如果成交供应商未按要求落实</w:t>
      </w:r>
      <w:r>
        <w:rPr>
          <w:rFonts w:hint="eastAsia" w:hAnsi="宋体" w:cs="Times New Roman"/>
          <w:kern w:val="2"/>
          <w:sz w:val="24"/>
          <w:szCs w:val="24"/>
          <w:lang w:val="en-US" w:eastAsia="zh-CN" w:bidi="ar-SA"/>
        </w:rPr>
        <w:t>电梯维保</w:t>
      </w:r>
      <w:r>
        <w:rPr>
          <w:rFonts w:hint="eastAsia" w:ascii="宋体" w:hAnsi="宋体" w:eastAsia="宋体" w:cs="Times New Roman"/>
          <w:kern w:val="2"/>
          <w:sz w:val="24"/>
          <w:szCs w:val="24"/>
          <w:lang w:val="en-US" w:eastAsia="zh-CN" w:bidi="ar-SA"/>
        </w:rPr>
        <w:t>工作，存在弄虚作假行为的，采购人有权进行相应的扣罚：第一次发现扣罚500元，第二次发现2倍扣罚（扣罚金额1000元），第三次发现3倍扣罚（扣罚金额2000元），以此类推。</w:t>
      </w:r>
    </w:p>
    <w:p w14:paraId="06E18CA3">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sz w:val="24"/>
          <w:szCs w:val="24"/>
          <w:lang w:val="en-US" w:eastAsia="zh-CN"/>
        </w:rPr>
      </w:pPr>
      <w:r>
        <w:rPr>
          <w:rFonts w:hint="eastAsia"/>
          <w:sz w:val="24"/>
          <w:szCs w:val="24"/>
          <w:lang w:val="en-US" w:eastAsia="zh-CN"/>
        </w:rPr>
        <w:t>附表二       电梯维护保养服务质量考评表</w:t>
      </w:r>
    </w:p>
    <w:p w14:paraId="01151558">
      <w:pPr>
        <w:keepNext w:val="0"/>
        <w:keepLines w:val="0"/>
        <w:pageBreakBefore w:val="0"/>
        <w:kinsoku/>
        <w:wordWrap/>
        <w:overflowPunct/>
        <w:topLinePunct w:val="0"/>
        <w:bidi w:val="0"/>
        <w:snapToGrid/>
        <w:spacing w:line="360" w:lineRule="auto"/>
        <w:rPr>
          <w:rFonts w:hint="eastAsia"/>
          <w:sz w:val="24"/>
          <w:szCs w:val="24"/>
          <w:lang w:val="en-US" w:eastAsia="zh-CN"/>
        </w:rPr>
      </w:pPr>
      <w:r>
        <w:rPr>
          <w:rFonts w:hint="eastAsia"/>
          <w:sz w:val="24"/>
          <w:szCs w:val="24"/>
          <w:lang w:val="en-US" w:eastAsia="zh-CN"/>
        </w:rPr>
        <w:t>（采购人有权根据实际情况进行调整）</w:t>
      </w:r>
    </w:p>
    <w:tbl>
      <w:tblPr>
        <w:tblStyle w:val="22"/>
        <w:tblW w:w="5381"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6"/>
        <w:gridCol w:w="3523"/>
        <w:gridCol w:w="534"/>
        <w:gridCol w:w="3063"/>
        <w:gridCol w:w="1195"/>
      </w:tblGrid>
      <w:tr w14:paraId="64CB275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2" w:hRule="atLeast"/>
          <w:jc w:val="center"/>
        </w:trPr>
        <w:tc>
          <w:tcPr>
            <w:tcW w:w="467" w:type="pct"/>
            <w:vAlign w:val="center"/>
          </w:tcPr>
          <w:p w14:paraId="3023247F">
            <w:pPr>
              <w:jc w:val="center"/>
              <w:rPr>
                <w:rFonts w:hint="eastAsia" w:ascii="宋体" w:hAnsi="宋体" w:eastAsia="宋体" w:cs="宋体"/>
                <w:b/>
                <w:bCs/>
                <w:szCs w:val="21"/>
              </w:rPr>
            </w:pPr>
            <w:r>
              <w:rPr>
                <w:rFonts w:hint="eastAsia" w:ascii="宋体" w:hAnsi="宋体" w:eastAsia="宋体" w:cs="宋体"/>
                <w:b/>
                <w:bCs/>
                <w:szCs w:val="21"/>
              </w:rPr>
              <w:t>项目</w:t>
            </w:r>
          </w:p>
        </w:tc>
        <w:tc>
          <w:tcPr>
            <w:tcW w:w="1920" w:type="pct"/>
            <w:vAlign w:val="center"/>
          </w:tcPr>
          <w:p w14:paraId="0B648E32">
            <w:pPr>
              <w:jc w:val="center"/>
              <w:rPr>
                <w:rFonts w:hint="eastAsia" w:ascii="宋体" w:hAnsi="宋体" w:eastAsia="宋体" w:cs="宋体"/>
                <w:b/>
                <w:bCs/>
                <w:szCs w:val="21"/>
              </w:rPr>
            </w:pPr>
            <w:r>
              <w:rPr>
                <w:rFonts w:hint="eastAsia" w:ascii="宋体" w:hAnsi="宋体" w:eastAsia="宋体" w:cs="宋体"/>
                <w:b/>
                <w:bCs/>
                <w:szCs w:val="21"/>
              </w:rPr>
              <w:t>考评标准</w:t>
            </w:r>
          </w:p>
        </w:tc>
        <w:tc>
          <w:tcPr>
            <w:tcW w:w="291" w:type="pct"/>
            <w:vAlign w:val="center"/>
          </w:tcPr>
          <w:p w14:paraId="461FF2BA">
            <w:pPr>
              <w:jc w:val="center"/>
              <w:rPr>
                <w:rFonts w:hint="eastAsia" w:ascii="宋体" w:hAnsi="宋体" w:eastAsia="宋体" w:cs="宋体"/>
                <w:b/>
                <w:bCs/>
                <w:szCs w:val="21"/>
              </w:rPr>
            </w:pPr>
            <w:r>
              <w:rPr>
                <w:rFonts w:hint="eastAsia" w:ascii="宋体" w:hAnsi="宋体" w:eastAsia="宋体" w:cs="宋体"/>
                <w:b/>
                <w:bCs/>
                <w:szCs w:val="21"/>
              </w:rPr>
              <w:t>分值</w:t>
            </w:r>
          </w:p>
        </w:tc>
        <w:tc>
          <w:tcPr>
            <w:tcW w:w="1669" w:type="pct"/>
            <w:vAlign w:val="center"/>
          </w:tcPr>
          <w:p w14:paraId="7941E0C9">
            <w:pPr>
              <w:jc w:val="center"/>
              <w:rPr>
                <w:rFonts w:hint="eastAsia" w:ascii="宋体" w:hAnsi="宋体" w:eastAsia="宋体" w:cs="宋体"/>
                <w:b/>
                <w:bCs/>
                <w:szCs w:val="21"/>
              </w:rPr>
            </w:pPr>
            <w:r>
              <w:rPr>
                <w:rFonts w:hint="eastAsia" w:ascii="宋体" w:hAnsi="宋体" w:eastAsia="宋体" w:cs="宋体"/>
                <w:b/>
                <w:bCs/>
                <w:szCs w:val="21"/>
              </w:rPr>
              <w:t>考核方法</w:t>
            </w:r>
          </w:p>
        </w:tc>
        <w:tc>
          <w:tcPr>
            <w:tcW w:w="651" w:type="pct"/>
            <w:vAlign w:val="center"/>
          </w:tcPr>
          <w:p w14:paraId="60CCF66E">
            <w:pPr>
              <w:jc w:val="center"/>
              <w:rPr>
                <w:rFonts w:hint="eastAsia" w:ascii="宋体" w:hAnsi="宋体" w:eastAsia="宋体" w:cs="宋体"/>
                <w:b/>
                <w:bCs/>
                <w:szCs w:val="21"/>
              </w:rPr>
            </w:pPr>
            <w:r>
              <w:rPr>
                <w:rFonts w:hint="eastAsia" w:ascii="宋体" w:hAnsi="宋体" w:eastAsia="宋体" w:cs="宋体"/>
                <w:b/>
                <w:bCs/>
                <w:szCs w:val="21"/>
              </w:rPr>
              <w:t>检查结果</w:t>
            </w:r>
          </w:p>
        </w:tc>
      </w:tr>
      <w:tr w14:paraId="44D938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82" w:hRule="atLeast"/>
          <w:jc w:val="center"/>
        </w:trPr>
        <w:tc>
          <w:tcPr>
            <w:tcW w:w="467" w:type="pct"/>
            <w:vMerge w:val="restart"/>
            <w:vAlign w:val="center"/>
          </w:tcPr>
          <w:p w14:paraId="7AF204E7">
            <w:pPr>
              <w:jc w:val="center"/>
              <w:rPr>
                <w:rFonts w:hint="eastAsia" w:ascii="宋体" w:hAnsi="宋体" w:eastAsia="宋体" w:cs="宋体"/>
                <w:szCs w:val="21"/>
              </w:rPr>
            </w:pPr>
            <w:r>
              <w:rPr>
                <w:rFonts w:hint="eastAsia" w:ascii="宋体" w:hAnsi="宋体" w:eastAsia="宋体" w:cs="宋体"/>
                <w:szCs w:val="21"/>
              </w:rPr>
              <w:t>公司</w:t>
            </w:r>
          </w:p>
          <w:p w14:paraId="190798B3">
            <w:pPr>
              <w:jc w:val="center"/>
              <w:rPr>
                <w:rFonts w:hint="eastAsia" w:ascii="宋体" w:hAnsi="宋体" w:eastAsia="宋体" w:cs="宋体"/>
                <w:szCs w:val="21"/>
              </w:rPr>
            </w:pPr>
            <w:r>
              <w:rPr>
                <w:rFonts w:hint="eastAsia" w:ascii="宋体" w:hAnsi="宋体" w:eastAsia="宋体" w:cs="宋体"/>
                <w:szCs w:val="21"/>
              </w:rPr>
              <w:t>管理</w:t>
            </w:r>
          </w:p>
        </w:tc>
        <w:tc>
          <w:tcPr>
            <w:tcW w:w="1920" w:type="pct"/>
            <w:vAlign w:val="center"/>
          </w:tcPr>
          <w:p w14:paraId="43DB2081">
            <w:pPr>
              <w:jc w:val="left"/>
              <w:rPr>
                <w:rFonts w:hint="eastAsia" w:ascii="宋体" w:hAnsi="宋体" w:eastAsia="宋体" w:cs="宋体"/>
                <w:szCs w:val="21"/>
              </w:rPr>
            </w:pPr>
            <w:r>
              <w:rPr>
                <w:rFonts w:hint="eastAsia" w:ascii="宋体" w:hAnsi="宋体" w:eastAsia="宋体" w:cs="宋体"/>
                <w:b/>
                <w:bCs/>
                <w:szCs w:val="21"/>
              </w:rPr>
              <w:t>1.员工在岗情况：</w:t>
            </w:r>
            <w:r>
              <w:rPr>
                <w:rFonts w:hint="eastAsia" w:ascii="宋体" w:hAnsi="宋体" w:eastAsia="宋体" w:cs="宋体"/>
                <w:szCs w:val="21"/>
              </w:rPr>
              <w:t>①项目驻场维保人员要全天24小时,一年365天（含公众假期与节假目）坚守岗位，不少于1人常驻医院，24小时提供紧急故障处理和意外事件的技术性服务。②驻场若有特殊情况需离开医院，应向医院主管部门请假报备并做好工作安排。</w:t>
            </w:r>
          </w:p>
        </w:tc>
        <w:tc>
          <w:tcPr>
            <w:tcW w:w="291" w:type="pct"/>
            <w:vAlign w:val="center"/>
          </w:tcPr>
          <w:p w14:paraId="7EB130F5">
            <w:pPr>
              <w:jc w:val="center"/>
              <w:rPr>
                <w:rFonts w:hint="eastAsia" w:ascii="宋体" w:hAnsi="宋体" w:eastAsia="宋体" w:cs="宋体"/>
                <w:szCs w:val="21"/>
              </w:rPr>
            </w:pPr>
            <w:r>
              <w:rPr>
                <w:rFonts w:hint="eastAsia" w:ascii="宋体" w:hAnsi="宋体" w:eastAsia="宋体" w:cs="宋体"/>
                <w:szCs w:val="21"/>
              </w:rPr>
              <w:t>2</w:t>
            </w:r>
          </w:p>
        </w:tc>
        <w:tc>
          <w:tcPr>
            <w:tcW w:w="1669" w:type="pct"/>
            <w:vAlign w:val="center"/>
          </w:tcPr>
          <w:p w14:paraId="3FF9C48E">
            <w:pPr>
              <w:jc w:val="left"/>
              <w:rPr>
                <w:rFonts w:hint="eastAsia" w:ascii="宋体" w:hAnsi="宋体" w:eastAsia="宋体" w:cs="宋体"/>
                <w:szCs w:val="21"/>
              </w:rPr>
            </w:pPr>
            <w:r>
              <w:rPr>
                <w:rFonts w:hint="eastAsia" w:ascii="宋体" w:hAnsi="宋体" w:eastAsia="宋体" w:cs="宋体"/>
                <w:szCs w:val="21"/>
              </w:rPr>
              <w:t>驻场维保人员无故离岗或休息不向医院主管部门报备的，每发现一次扣1分；如因驻场人员休息而工作安排不到位导致不良后果的，扣2分/次。</w:t>
            </w:r>
          </w:p>
        </w:tc>
        <w:tc>
          <w:tcPr>
            <w:tcW w:w="651" w:type="pct"/>
            <w:vAlign w:val="center"/>
          </w:tcPr>
          <w:p w14:paraId="0DB66176">
            <w:pPr>
              <w:jc w:val="center"/>
              <w:rPr>
                <w:rFonts w:hint="eastAsia" w:ascii="宋体" w:hAnsi="宋体" w:eastAsia="宋体" w:cs="宋体"/>
                <w:szCs w:val="21"/>
              </w:rPr>
            </w:pPr>
          </w:p>
        </w:tc>
      </w:tr>
      <w:tr w14:paraId="4D6143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54" w:hRule="atLeast"/>
          <w:jc w:val="center"/>
        </w:trPr>
        <w:tc>
          <w:tcPr>
            <w:tcW w:w="467" w:type="pct"/>
            <w:vMerge w:val="continue"/>
            <w:vAlign w:val="center"/>
          </w:tcPr>
          <w:p w14:paraId="1D33DD33">
            <w:pPr>
              <w:jc w:val="center"/>
              <w:rPr>
                <w:rFonts w:hint="eastAsia" w:ascii="宋体" w:hAnsi="宋体" w:eastAsia="宋体" w:cs="宋体"/>
                <w:szCs w:val="21"/>
              </w:rPr>
            </w:pPr>
          </w:p>
        </w:tc>
        <w:tc>
          <w:tcPr>
            <w:tcW w:w="1920" w:type="pct"/>
            <w:vAlign w:val="center"/>
          </w:tcPr>
          <w:p w14:paraId="37FFF328">
            <w:pPr>
              <w:jc w:val="left"/>
              <w:rPr>
                <w:rFonts w:hint="eastAsia" w:ascii="宋体" w:hAnsi="宋体" w:eastAsia="宋体" w:cs="宋体"/>
                <w:szCs w:val="21"/>
              </w:rPr>
            </w:pPr>
            <w:r>
              <w:rPr>
                <w:rFonts w:hint="eastAsia" w:ascii="宋体" w:hAnsi="宋体" w:eastAsia="宋体" w:cs="宋体"/>
                <w:b/>
                <w:bCs/>
                <w:szCs w:val="21"/>
              </w:rPr>
              <w:t>2.员工培训：</w:t>
            </w:r>
            <w:r>
              <w:rPr>
                <w:rFonts w:hint="eastAsia" w:ascii="宋体" w:hAnsi="宋体" w:eastAsia="宋体" w:cs="宋体"/>
                <w:szCs w:val="21"/>
              </w:rPr>
              <w:t>公司应制定年度培训计划并定期组织从业人员进行专业、安全培训并建立培训档案，员工熟悉本职工作职责和流程、相关法律法规、应急预案和处理方法、消防知识等，应急处理培训合格率达100%。新入职员工应培训合格方可上岗。</w:t>
            </w:r>
          </w:p>
        </w:tc>
        <w:tc>
          <w:tcPr>
            <w:tcW w:w="291" w:type="pct"/>
            <w:vAlign w:val="center"/>
          </w:tcPr>
          <w:p w14:paraId="20994032">
            <w:pPr>
              <w:jc w:val="center"/>
              <w:rPr>
                <w:rFonts w:hint="eastAsia" w:ascii="宋体" w:hAnsi="宋体" w:eastAsia="宋体" w:cs="宋体"/>
                <w:szCs w:val="21"/>
              </w:rPr>
            </w:pPr>
            <w:r>
              <w:rPr>
                <w:rFonts w:hint="eastAsia" w:ascii="宋体" w:hAnsi="宋体" w:eastAsia="宋体" w:cs="宋体"/>
                <w:szCs w:val="21"/>
              </w:rPr>
              <w:t>2</w:t>
            </w:r>
          </w:p>
        </w:tc>
        <w:tc>
          <w:tcPr>
            <w:tcW w:w="1669" w:type="pct"/>
            <w:vAlign w:val="center"/>
          </w:tcPr>
          <w:p w14:paraId="304051E6">
            <w:pPr>
              <w:jc w:val="left"/>
              <w:rPr>
                <w:rFonts w:hint="eastAsia" w:ascii="宋体" w:hAnsi="宋体" w:eastAsia="宋体" w:cs="宋体"/>
                <w:szCs w:val="21"/>
              </w:rPr>
            </w:pPr>
            <w:r>
              <w:rPr>
                <w:rFonts w:hint="eastAsia" w:ascii="宋体" w:hAnsi="宋体" w:eastAsia="宋体" w:cs="宋体"/>
                <w:szCs w:val="21"/>
              </w:rPr>
              <w:t>无年度培训计划或未落实培训计划，缺一次扣1分；抽问员工，对岗位职责、工作流程、应急处理预案等内容不熟悉的，扣1分/人。新入职员工未经培训或培训后不熟悉工作要求和流程而上岗的，扣减2分/次。</w:t>
            </w:r>
          </w:p>
        </w:tc>
        <w:tc>
          <w:tcPr>
            <w:tcW w:w="651" w:type="pct"/>
            <w:vAlign w:val="center"/>
          </w:tcPr>
          <w:p w14:paraId="2F566924">
            <w:pPr>
              <w:jc w:val="center"/>
              <w:rPr>
                <w:rFonts w:hint="eastAsia" w:ascii="宋体" w:hAnsi="宋体" w:eastAsia="宋体" w:cs="宋体"/>
                <w:szCs w:val="21"/>
              </w:rPr>
            </w:pPr>
          </w:p>
        </w:tc>
      </w:tr>
      <w:tr w14:paraId="337DE6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67" w:type="pct"/>
            <w:vMerge w:val="continue"/>
            <w:vAlign w:val="center"/>
          </w:tcPr>
          <w:p w14:paraId="0E67888D">
            <w:pPr>
              <w:jc w:val="center"/>
              <w:rPr>
                <w:rFonts w:hint="eastAsia" w:ascii="宋体" w:hAnsi="宋体" w:eastAsia="宋体" w:cs="宋体"/>
                <w:szCs w:val="21"/>
              </w:rPr>
            </w:pPr>
          </w:p>
        </w:tc>
        <w:tc>
          <w:tcPr>
            <w:tcW w:w="1920" w:type="pct"/>
            <w:vAlign w:val="center"/>
          </w:tcPr>
          <w:p w14:paraId="520BFD01">
            <w:pPr>
              <w:jc w:val="left"/>
              <w:rPr>
                <w:rFonts w:hint="eastAsia" w:ascii="宋体" w:hAnsi="宋体" w:eastAsia="宋体" w:cs="宋体"/>
                <w:szCs w:val="21"/>
              </w:rPr>
            </w:pPr>
            <w:r>
              <w:rPr>
                <w:rFonts w:hint="eastAsia" w:ascii="宋体" w:hAnsi="宋体" w:eastAsia="宋体" w:cs="宋体"/>
                <w:b/>
                <w:bCs/>
                <w:szCs w:val="21"/>
              </w:rPr>
              <w:t>3.制度、规程健全情况：</w:t>
            </w:r>
            <w:r>
              <w:rPr>
                <w:rFonts w:hint="eastAsia" w:ascii="宋体" w:hAnsi="宋体" w:eastAsia="宋体" w:cs="宋体"/>
                <w:szCs w:val="21"/>
              </w:rPr>
              <w:t>公司应按照三甲医院有关要求，建立健全各项管理规章制度、岗位职责、操作流程、工作标准、内部质量控制方案等并提交采购人主管部门备案。（包括且不仅限于以下内容）：①建立电梯安全管理制度、电梯设备维护保养制度和岗位职责；②建立电梯维保人员持证上岗制度和证件档案；③建立电梯操作规程；④建立电梯事故应急预案。</w:t>
            </w:r>
          </w:p>
        </w:tc>
        <w:tc>
          <w:tcPr>
            <w:tcW w:w="291" w:type="pct"/>
            <w:vAlign w:val="center"/>
          </w:tcPr>
          <w:p w14:paraId="3789C049">
            <w:pPr>
              <w:jc w:val="center"/>
              <w:rPr>
                <w:rFonts w:hint="eastAsia" w:ascii="宋体" w:hAnsi="宋体" w:eastAsia="宋体" w:cs="宋体"/>
                <w:szCs w:val="21"/>
              </w:rPr>
            </w:pPr>
            <w:r>
              <w:rPr>
                <w:rFonts w:hint="eastAsia" w:ascii="宋体" w:hAnsi="宋体" w:eastAsia="宋体" w:cs="宋体"/>
                <w:szCs w:val="21"/>
              </w:rPr>
              <w:t>3</w:t>
            </w:r>
          </w:p>
        </w:tc>
        <w:tc>
          <w:tcPr>
            <w:tcW w:w="1669" w:type="pct"/>
            <w:vAlign w:val="center"/>
          </w:tcPr>
          <w:p w14:paraId="2894493E">
            <w:pPr>
              <w:jc w:val="left"/>
              <w:rPr>
                <w:rFonts w:hint="eastAsia" w:ascii="宋体" w:hAnsi="宋体" w:eastAsia="宋体" w:cs="宋体"/>
                <w:szCs w:val="21"/>
              </w:rPr>
            </w:pPr>
            <w:r>
              <w:rPr>
                <w:rFonts w:hint="eastAsia" w:ascii="宋体" w:hAnsi="宋体" w:eastAsia="宋体" w:cs="宋体"/>
                <w:szCs w:val="21"/>
              </w:rPr>
              <w:t>未建立相关制度、职责、操作流程等内容的，缺少一项扣0.5分，建立但没有实际落实的，扣0.5分/项，扣完为止。</w:t>
            </w:r>
          </w:p>
        </w:tc>
        <w:tc>
          <w:tcPr>
            <w:tcW w:w="651" w:type="pct"/>
            <w:vAlign w:val="center"/>
          </w:tcPr>
          <w:p w14:paraId="5683E8ED">
            <w:pPr>
              <w:jc w:val="center"/>
              <w:rPr>
                <w:rFonts w:hint="eastAsia" w:ascii="宋体" w:hAnsi="宋体" w:eastAsia="宋体" w:cs="宋体"/>
                <w:szCs w:val="21"/>
              </w:rPr>
            </w:pPr>
          </w:p>
        </w:tc>
      </w:tr>
      <w:tr w14:paraId="3C7DEE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67" w:type="pct"/>
            <w:vMerge w:val="continue"/>
            <w:vAlign w:val="center"/>
          </w:tcPr>
          <w:p w14:paraId="0F38B509">
            <w:pPr>
              <w:jc w:val="center"/>
              <w:rPr>
                <w:rFonts w:hint="eastAsia" w:ascii="宋体" w:hAnsi="宋体" w:eastAsia="宋体" w:cs="宋体"/>
                <w:szCs w:val="21"/>
              </w:rPr>
            </w:pPr>
          </w:p>
        </w:tc>
        <w:tc>
          <w:tcPr>
            <w:tcW w:w="1920" w:type="pct"/>
            <w:vAlign w:val="center"/>
          </w:tcPr>
          <w:p w14:paraId="69F74C32">
            <w:pPr>
              <w:jc w:val="left"/>
              <w:rPr>
                <w:rFonts w:hint="eastAsia" w:ascii="宋体" w:hAnsi="宋体" w:eastAsia="宋体" w:cs="宋体"/>
                <w:szCs w:val="21"/>
              </w:rPr>
            </w:pPr>
            <w:r>
              <w:rPr>
                <w:rFonts w:hint="eastAsia" w:ascii="宋体" w:hAnsi="宋体" w:eastAsia="宋体" w:cs="宋体"/>
                <w:b/>
                <w:bCs/>
                <w:szCs w:val="21"/>
              </w:rPr>
              <w:t>4.质量持续改进：</w:t>
            </w:r>
            <w:r>
              <w:rPr>
                <w:rFonts w:hint="eastAsia" w:ascii="宋体" w:hAnsi="宋体" w:eastAsia="宋体" w:cs="宋体"/>
                <w:szCs w:val="21"/>
              </w:rPr>
              <w:t>维保公司对医院提出的问题及时改进，投诉处理率为100%。发生不良事件时，应在1小时内采取补救措施将影响降到最低，处理结束后，填《不良事件登记表》并对发生原因进行分析并持续改进，在一周内将填写完整的《不良事件登记表》提交主管部门报备，改进措施有效，因公司责任导致同类不良事件不得出现两次。如收到职工反应问题应书面回复改进措施；如收到医院发出的整改通知函，应按期整改并提交整改报告。</w:t>
            </w:r>
          </w:p>
        </w:tc>
        <w:tc>
          <w:tcPr>
            <w:tcW w:w="291" w:type="pct"/>
            <w:vAlign w:val="center"/>
          </w:tcPr>
          <w:p w14:paraId="70D54759">
            <w:pPr>
              <w:jc w:val="center"/>
              <w:rPr>
                <w:rFonts w:hint="eastAsia" w:ascii="宋体" w:hAnsi="宋体" w:eastAsia="宋体" w:cs="宋体"/>
                <w:szCs w:val="21"/>
              </w:rPr>
            </w:pPr>
            <w:r>
              <w:rPr>
                <w:rFonts w:hint="eastAsia" w:ascii="宋体" w:hAnsi="宋体" w:eastAsia="宋体" w:cs="宋体"/>
                <w:szCs w:val="21"/>
              </w:rPr>
              <w:t>3</w:t>
            </w:r>
          </w:p>
        </w:tc>
        <w:tc>
          <w:tcPr>
            <w:tcW w:w="1669" w:type="pct"/>
            <w:vAlign w:val="center"/>
          </w:tcPr>
          <w:p w14:paraId="22E53788">
            <w:pPr>
              <w:jc w:val="left"/>
              <w:rPr>
                <w:rFonts w:hint="eastAsia" w:ascii="宋体" w:hAnsi="宋体" w:eastAsia="宋体" w:cs="宋体"/>
                <w:szCs w:val="21"/>
              </w:rPr>
            </w:pPr>
            <w:r>
              <w:rPr>
                <w:rFonts w:hint="eastAsia" w:ascii="宋体" w:hAnsi="宋体" w:eastAsia="宋体" w:cs="宋体"/>
                <w:szCs w:val="21"/>
              </w:rPr>
              <w:t>未按要求处理或改进的，扣1分/次，未填写登记表并提交整改意见的，扣1分/次；如因公司责任再次发生同类不良事件的，扣3分/项，扣完为止。</w:t>
            </w:r>
          </w:p>
        </w:tc>
        <w:tc>
          <w:tcPr>
            <w:tcW w:w="651" w:type="pct"/>
            <w:vAlign w:val="center"/>
          </w:tcPr>
          <w:p w14:paraId="5E7ED1B9">
            <w:pPr>
              <w:jc w:val="center"/>
              <w:rPr>
                <w:rFonts w:hint="eastAsia" w:ascii="宋体" w:hAnsi="宋体" w:eastAsia="宋体" w:cs="宋体"/>
                <w:szCs w:val="21"/>
              </w:rPr>
            </w:pPr>
          </w:p>
        </w:tc>
      </w:tr>
      <w:tr w14:paraId="5102A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67" w:type="pct"/>
            <w:vMerge w:val="restart"/>
            <w:vAlign w:val="center"/>
          </w:tcPr>
          <w:p w14:paraId="1DC5ED57">
            <w:pPr>
              <w:jc w:val="center"/>
              <w:rPr>
                <w:rFonts w:hint="eastAsia" w:ascii="宋体" w:hAnsi="宋体" w:eastAsia="宋体" w:cs="宋体"/>
                <w:szCs w:val="21"/>
              </w:rPr>
            </w:pPr>
            <w:r>
              <w:rPr>
                <w:rFonts w:hint="eastAsia" w:ascii="宋体" w:hAnsi="宋体" w:eastAsia="宋体" w:cs="宋体"/>
                <w:szCs w:val="21"/>
              </w:rPr>
              <w:t>应急</w:t>
            </w:r>
          </w:p>
          <w:p w14:paraId="71903756">
            <w:pPr>
              <w:jc w:val="center"/>
              <w:rPr>
                <w:rFonts w:hint="eastAsia" w:ascii="宋体" w:hAnsi="宋体" w:eastAsia="宋体" w:cs="宋体"/>
                <w:szCs w:val="21"/>
              </w:rPr>
            </w:pPr>
            <w:r>
              <w:rPr>
                <w:rFonts w:hint="eastAsia" w:ascii="宋体" w:hAnsi="宋体" w:eastAsia="宋体" w:cs="宋体"/>
                <w:szCs w:val="21"/>
              </w:rPr>
              <w:t>处理</w:t>
            </w:r>
          </w:p>
        </w:tc>
        <w:tc>
          <w:tcPr>
            <w:tcW w:w="1920" w:type="pct"/>
            <w:vAlign w:val="center"/>
          </w:tcPr>
          <w:p w14:paraId="73C1F0C4">
            <w:pPr>
              <w:jc w:val="left"/>
              <w:rPr>
                <w:rFonts w:hint="eastAsia" w:ascii="宋体" w:hAnsi="宋体" w:eastAsia="宋体" w:cs="宋体"/>
                <w:szCs w:val="21"/>
              </w:rPr>
            </w:pPr>
            <w:r>
              <w:rPr>
                <w:rFonts w:hint="eastAsia" w:ascii="宋体" w:hAnsi="宋体" w:eastAsia="宋体" w:cs="宋体"/>
                <w:szCs w:val="21"/>
              </w:rPr>
              <w:t>1.应建立各类电梯事故应急预案并组织演练，有演练记录。驻场维保人员能熟练掌握各类突发事故（包括电梯困人、停电、着火等）的应急处理方法，应对措施符合相关操作规程，确保医院电梯运行正常，不得因驻场维保人员失职导致损害发生。</w:t>
            </w:r>
          </w:p>
        </w:tc>
        <w:tc>
          <w:tcPr>
            <w:tcW w:w="291" w:type="pct"/>
            <w:vAlign w:val="center"/>
          </w:tcPr>
          <w:p w14:paraId="2DF48367">
            <w:pPr>
              <w:jc w:val="center"/>
              <w:rPr>
                <w:rFonts w:hint="eastAsia" w:ascii="宋体" w:hAnsi="宋体" w:eastAsia="宋体" w:cs="宋体"/>
                <w:szCs w:val="21"/>
              </w:rPr>
            </w:pPr>
            <w:r>
              <w:rPr>
                <w:rFonts w:hint="eastAsia" w:ascii="宋体" w:hAnsi="宋体" w:eastAsia="宋体" w:cs="宋体"/>
                <w:szCs w:val="21"/>
              </w:rPr>
              <w:t>5</w:t>
            </w:r>
          </w:p>
        </w:tc>
        <w:tc>
          <w:tcPr>
            <w:tcW w:w="1669" w:type="pct"/>
            <w:vAlign w:val="center"/>
          </w:tcPr>
          <w:p w14:paraId="0CA6DA36">
            <w:pPr>
              <w:jc w:val="left"/>
              <w:rPr>
                <w:rFonts w:hint="eastAsia" w:ascii="宋体" w:hAnsi="宋体" w:eastAsia="宋体" w:cs="宋体"/>
                <w:szCs w:val="21"/>
              </w:rPr>
            </w:pPr>
            <w:r>
              <w:rPr>
                <w:rFonts w:hint="eastAsia" w:ascii="宋体" w:hAnsi="宋体" w:eastAsia="宋体" w:cs="宋体"/>
                <w:szCs w:val="21"/>
              </w:rPr>
              <w:t>检查演练记录，抽问维保人员对突发事件处理方法，一人不掌握的扣1分；如果发生紧急情况，不前往事故现场处理的，或到场不作为的，一经查实，扣5分/次，公司承担因此造成后果，情节严重的医院有权单方无条件终止合同。</w:t>
            </w:r>
          </w:p>
        </w:tc>
        <w:tc>
          <w:tcPr>
            <w:tcW w:w="651" w:type="pct"/>
            <w:vAlign w:val="center"/>
          </w:tcPr>
          <w:p w14:paraId="1CB2EBF1">
            <w:pPr>
              <w:jc w:val="center"/>
              <w:rPr>
                <w:rFonts w:hint="eastAsia" w:ascii="宋体" w:hAnsi="宋体" w:eastAsia="宋体" w:cs="宋体"/>
                <w:szCs w:val="21"/>
              </w:rPr>
            </w:pPr>
          </w:p>
        </w:tc>
      </w:tr>
      <w:tr w14:paraId="62FC0E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10" w:hRule="atLeast"/>
          <w:jc w:val="center"/>
        </w:trPr>
        <w:tc>
          <w:tcPr>
            <w:tcW w:w="467" w:type="pct"/>
            <w:vMerge w:val="continue"/>
            <w:vAlign w:val="center"/>
          </w:tcPr>
          <w:p w14:paraId="522CB235">
            <w:pPr>
              <w:jc w:val="center"/>
              <w:rPr>
                <w:rFonts w:hint="eastAsia" w:ascii="宋体" w:hAnsi="宋体" w:eastAsia="宋体" w:cs="宋体"/>
                <w:szCs w:val="21"/>
              </w:rPr>
            </w:pPr>
          </w:p>
        </w:tc>
        <w:tc>
          <w:tcPr>
            <w:tcW w:w="1920" w:type="pct"/>
            <w:vAlign w:val="center"/>
          </w:tcPr>
          <w:p w14:paraId="2ACA83F8">
            <w:pPr>
              <w:jc w:val="left"/>
              <w:rPr>
                <w:rFonts w:hint="eastAsia" w:ascii="宋体" w:hAnsi="宋体" w:eastAsia="宋体" w:cs="宋体"/>
                <w:szCs w:val="21"/>
              </w:rPr>
            </w:pPr>
            <w:r>
              <w:rPr>
                <w:rFonts w:hint="eastAsia" w:ascii="宋体" w:hAnsi="宋体" w:eastAsia="宋体" w:cs="宋体"/>
                <w:szCs w:val="21"/>
              </w:rPr>
              <w:t>2.在接到医院通知后，10分钟内必须到达现场处理，当电梯出现困人时，驻场人员到达现场后，在安全情况下，30分钟内将被困人员解救出来，并上报相关主管部门，不得隐瞒。</w:t>
            </w:r>
          </w:p>
        </w:tc>
        <w:tc>
          <w:tcPr>
            <w:tcW w:w="291" w:type="pct"/>
            <w:vAlign w:val="center"/>
          </w:tcPr>
          <w:p w14:paraId="0EDF2D5F">
            <w:pPr>
              <w:jc w:val="center"/>
              <w:rPr>
                <w:rFonts w:hint="eastAsia" w:ascii="宋体" w:hAnsi="宋体" w:eastAsia="宋体" w:cs="宋体"/>
                <w:szCs w:val="21"/>
              </w:rPr>
            </w:pPr>
            <w:r>
              <w:rPr>
                <w:rFonts w:hint="eastAsia" w:ascii="宋体" w:hAnsi="宋体" w:eastAsia="宋体" w:cs="宋体"/>
                <w:szCs w:val="21"/>
              </w:rPr>
              <w:t>10</w:t>
            </w:r>
          </w:p>
        </w:tc>
        <w:tc>
          <w:tcPr>
            <w:tcW w:w="1669" w:type="pct"/>
            <w:vAlign w:val="center"/>
          </w:tcPr>
          <w:p w14:paraId="74848727">
            <w:pPr>
              <w:jc w:val="left"/>
              <w:rPr>
                <w:rFonts w:hint="eastAsia" w:ascii="宋体" w:hAnsi="宋体" w:eastAsia="宋体" w:cs="宋体"/>
                <w:szCs w:val="21"/>
              </w:rPr>
            </w:pPr>
            <w:r>
              <w:rPr>
                <w:rFonts w:hint="eastAsia" w:ascii="宋体" w:hAnsi="宋体" w:eastAsia="宋体" w:cs="宋体"/>
                <w:szCs w:val="21"/>
              </w:rPr>
              <w:t>发生一次电梯困人事故扣5分；发生后未按要求在规定时间内进行应急处理或隐瞒不报的扣5分/次。如因公司造成重大损失或同一电梯一个月内连续发生两起困人事件的，医院有权单方无条件终止合同。</w:t>
            </w:r>
          </w:p>
        </w:tc>
        <w:tc>
          <w:tcPr>
            <w:tcW w:w="651" w:type="pct"/>
            <w:vAlign w:val="center"/>
          </w:tcPr>
          <w:p w14:paraId="2D83BFE2">
            <w:pPr>
              <w:jc w:val="center"/>
              <w:rPr>
                <w:rFonts w:hint="eastAsia" w:ascii="宋体" w:hAnsi="宋体" w:eastAsia="宋体" w:cs="宋体"/>
                <w:szCs w:val="21"/>
              </w:rPr>
            </w:pPr>
          </w:p>
        </w:tc>
      </w:tr>
      <w:tr w14:paraId="79F7A2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2" w:hRule="atLeast"/>
          <w:jc w:val="center"/>
        </w:trPr>
        <w:tc>
          <w:tcPr>
            <w:tcW w:w="467" w:type="pct"/>
            <w:vMerge w:val="continue"/>
            <w:vAlign w:val="center"/>
          </w:tcPr>
          <w:p w14:paraId="6FDBB05B">
            <w:pPr>
              <w:jc w:val="center"/>
              <w:rPr>
                <w:rFonts w:hint="eastAsia" w:ascii="宋体" w:hAnsi="宋体" w:eastAsia="宋体" w:cs="宋体"/>
                <w:szCs w:val="21"/>
              </w:rPr>
            </w:pPr>
          </w:p>
        </w:tc>
        <w:tc>
          <w:tcPr>
            <w:tcW w:w="1920" w:type="pct"/>
            <w:vAlign w:val="center"/>
          </w:tcPr>
          <w:p w14:paraId="6AFD5467">
            <w:pPr>
              <w:jc w:val="left"/>
              <w:rPr>
                <w:rFonts w:hint="eastAsia" w:ascii="宋体" w:hAnsi="宋体" w:eastAsia="宋体" w:cs="宋体"/>
                <w:szCs w:val="21"/>
              </w:rPr>
            </w:pPr>
            <w:r>
              <w:rPr>
                <w:rFonts w:hint="eastAsia" w:ascii="宋体" w:hAnsi="宋体" w:eastAsia="宋体" w:cs="宋体"/>
                <w:szCs w:val="21"/>
              </w:rPr>
              <w:t>3.一旦发生电梯故障或运行不正常,需要支援时,维保公司委派的其它支援急修人员（有资质）必须在30分钟（从电梯故障时算起）内到达故障现场予以处理，维修时须设置护栏做好现场围蔽工作。</w:t>
            </w:r>
          </w:p>
        </w:tc>
        <w:tc>
          <w:tcPr>
            <w:tcW w:w="291" w:type="pct"/>
            <w:vAlign w:val="center"/>
          </w:tcPr>
          <w:p w14:paraId="3EE5182A">
            <w:pPr>
              <w:jc w:val="center"/>
              <w:rPr>
                <w:rFonts w:hint="eastAsia" w:ascii="宋体" w:hAnsi="宋体" w:eastAsia="宋体" w:cs="宋体"/>
                <w:szCs w:val="21"/>
              </w:rPr>
            </w:pPr>
            <w:r>
              <w:rPr>
                <w:rFonts w:hint="eastAsia" w:ascii="宋体" w:hAnsi="宋体" w:eastAsia="宋体" w:cs="宋体"/>
                <w:szCs w:val="21"/>
              </w:rPr>
              <w:t>10</w:t>
            </w:r>
          </w:p>
        </w:tc>
        <w:tc>
          <w:tcPr>
            <w:tcW w:w="1669" w:type="pct"/>
            <w:vAlign w:val="center"/>
          </w:tcPr>
          <w:p w14:paraId="401E2E40">
            <w:pPr>
              <w:jc w:val="left"/>
              <w:rPr>
                <w:rFonts w:hint="eastAsia" w:ascii="宋体" w:hAnsi="宋体" w:eastAsia="宋体" w:cs="宋体"/>
                <w:szCs w:val="21"/>
              </w:rPr>
            </w:pPr>
            <w:r>
              <w:rPr>
                <w:rFonts w:hint="eastAsia" w:ascii="宋体" w:hAnsi="宋体" w:eastAsia="宋体" w:cs="宋体"/>
                <w:szCs w:val="21"/>
              </w:rPr>
              <w:t>支援急修人员未在规定30分钟的时间内到达现场，每次扣5分；维修时没有设置护栏，现场围蔽工作没有做好，每次扣5分。若一个月内，重复出现以上问题，要求整改后，无明显效果，医院有权单方无条件终止合同。</w:t>
            </w:r>
          </w:p>
        </w:tc>
        <w:tc>
          <w:tcPr>
            <w:tcW w:w="651" w:type="pct"/>
            <w:vAlign w:val="center"/>
          </w:tcPr>
          <w:p w14:paraId="18C44C58">
            <w:pPr>
              <w:jc w:val="center"/>
              <w:rPr>
                <w:rFonts w:hint="eastAsia" w:ascii="宋体" w:hAnsi="宋体" w:eastAsia="宋体" w:cs="宋体"/>
                <w:szCs w:val="21"/>
              </w:rPr>
            </w:pPr>
          </w:p>
        </w:tc>
      </w:tr>
      <w:tr w14:paraId="387005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0" w:hRule="atLeast"/>
          <w:jc w:val="center"/>
        </w:trPr>
        <w:tc>
          <w:tcPr>
            <w:tcW w:w="467" w:type="pct"/>
            <w:vAlign w:val="center"/>
          </w:tcPr>
          <w:p w14:paraId="28AA9A06">
            <w:pPr>
              <w:jc w:val="center"/>
              <w:rPr>
                <w:rFonts w:hint="eastAsia" w:ascii="宋体" w:hAnsi="宋体" w:eastAsia="宋体" w:cs="宋体"/>
                <w:szCs w:val="21"/>
              </w:rPr>
            </w:pPr>
            <w:r>
              <w:rPr>
                <w:rFonts w:hint="eastAsia" w:ascii="宋体" w:hAnsi="宋体" w:eastAsia="宋体" w:cs="宋体"/>
                <w:szCs w:val="21"/>
              </w:rPr>
              <w:t>劳动</w:t>
            </w:r>
          </w:p>
          <w:p w14:paraId="47A74E71">
            <w:pPr>
              <w:jc w:val="center"/>
              <w:rPr>
                <w:rFonts w:hint="eastAsia" w:ascii="宋体" w:hAnsi="宋体" w:eastAsia="宋体" w:cs="宋体"/>
                <w:szCs w:val="21"/>
              </w:rPr>
            </w:pPr>
            <w:r>
              <w:rPr>
                <w:rFonts w:hint="eastAsia" w:ascii="宋体" w:hAnsi="宋体" w:eastAsia="宋体" w:cs="宋体"/>
                <w:szCs w:val="21"/>
              </w:rPr>
              <w:t>纪律</w:t>
            </w:r>
          </w:p>
        </w:tc>
        <w:tc>
          <w:tcPr>
            <w:tcW w:w="1920" w:type="pct"/>
            <w:vAlign w:val="center"/>
          </w:tcPr>
          <w:p w14:paraId="7D2F16F5">
            <w:pPr>
              <w:jc w:val="left"/>
              <w:rPr>
                <w:rFonts w:hint="eastAsia" w:ascii="宋体" w:hAnsi="宋体" w:eastAsia="宋体" w:cs="宋体"/>
                <w:szCs w:val="21"/>
              </w:rPr>
            </w:pPr>
            <w:r>
              <w:rPr>
                <w:rFonts w:hint="eastAsia" w:ascii="宋体" w:hAnsi="宋体" w:eastAsia="宋体" w:cs="宋体"/>
                <w:szCs w:val="21"/>
              </w:rPr>
              <w:t>驻场维保人员应无违法犯罪记录，工作时间穿戴整齐，遵守医院各项规章制度及防疫等要求，服务态度好；在岗期间，要按时完成电梯巡查维保等工作，时刻待命，以防电梯出现突发状况。应积极配合医院做好参观、检查等工作。</w:t>
            </w:r>
          </w:p>
        </w:tc>
        <w:tc>
          <w:tcPr>
            <w:tcW w:w="291" w:type="pct"/>
            <w:vAlign w:val="center"/>
          </w:tcPr>
          <w:p w14:paraId="611DA801">
            <w:pPr>
              <w:jc w:val="center"/>
              <w:rPr>
                <w:rFonts w:hint="eastAsia" w:ascii="宋体" w:hAnsi="宋体" w:eastAsia="宋体" w:cs="宋体"/>
                <w:szCs w:val="21"/>
              </w:rPr>
            </w:pPr>
            <w:r>
              <w:rPr>
                <w:rFonts w:hint="eastAsia" w:ascii="宋体" w:hAnsi="宋体" w:eastAsia="宋体" w:cs="宋体"/>
                <w:szCs w:val="21"/>
              </w:rPr>
              <w:t>5</w:t>
            </w:r>
          </w:p>
        </w:tc>
        <w:tc>
          <w:tcPr>
            <w:tcW w:w="1669" w:type="pct"/>
            <w:vAlign w:val="center"/>
          </w:tcPr>
          <w:p w14:paraId="78EF85FE">
            <w:pPr>
              <w:jc w:val="left"/>
              <w:rPr>
                <w:rFonts w:hint="eastAsia" w:ascii="宋体" w:hAnsi="宋体" w:eastAsia="宋体" w:cs="宋体"/>
                <w:szCs w:val="21"/>
              </w:rPr>
            </w:pPr>
            <w:r>
              <w:rPr>
                <w:rFonts w:hint="eastAsia" w:ascii="宋体" w:hAnsi="宋体" w:eastAsia="宋体" w:cs="宋体"/>
                <w:szCs w:val="21"/>
              </w:rPr>
              <w:t>如有违反，视情节轻重，扣0.5-5分/次或依法追究法律责任；情节严重的，相关人员必须在一周内无条件调离本院。</w:t>
            </w:r>
          </w:p>
        </w:tc>
        <w:tc>
          <w:tcPr>
            <w:tcW w:w="651" w:type="pct"/>
            <w:vAlign w:val="center"/>
          </w:tcPr>
          <w:p w14:paraId="6FAAE388">
            <w:pPr>
              <w:jc w:val="center"/>
              <w:rPr>
                <w:rFonts w:hint="eastAsia" w:ascii="宋体" w:hAnsi="宋体" w:eastAsia="宋体" w:cs="宋体"/>
                <w:szCs w:val="21"/>
              </w:rPr>
            </w:pPr>
          </w:p>
        </w:tc>
      </w:tr>
      <w:tr w14:paraId="086565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37" w:hRule="atLeast"/>
          <w:jc w:val="center"/>
        </w:trPr>
        <w:tc>
          <w:tcPr>
            <w:tcW w:w="467" w:type="pct"/>
            <w:vAlign w:val="center"/>
          </w:tcPr>
          <w:p w14:paraId="0466B6CF">
            <w:pPr>
              <w:jc w:val="center"/>
              <w:rPr>
                <w:rFonts w:hint="eastAsia" w:ascii="宋体" w:hAnsi="宋体" w:eastAsia="宋体" w:cs="宋体"/>
                <w:szCs w:val="21"/>
              </w:rPr>
            </w:pPr>
            <w:r>
              <w:rPr>
                <w:rFonts w:hint="eastAsia" w:ascii="宋体" w:hAnsi="宋体" w:eastAsia="宋体" w:cs="宋体"/>
                <w:szCs w:val="21"/>
              </w:rPr>
              <w:t>人员</w:t>
            </w:r>
          </w:p>
          <w:p w14:paraId="6A5243EB">
            <w:pPr>
              <w:jc w:val="center"/>
              <w:rPr>
                <w:rFonts w:hint="eastAsia" w:ascii="宋体" w:hAnsi="宋体" w:eastAsia="宋体" w:cs="宋体"/>
                <w:szCs w:val="21"/>
              </w:rPr>
            </w:pPr>
            <w:r>
              <w:rPr>
                <w:rFonts w:hint="eastAsia" w:ascii="宋体" w:hAnsi="宋体" w:eastAsia="宋体" w:cs="宋体"/>
                <w:szCs w:val="21"/>
              </w:rPr>
              <w:t>配置</w:t>
            </w:r>
          </w:p>
        </w:tc>
        <w:tc>
          <w:tcPr>
            <w:tcW w:w="1920" w:type="pct"/>
            <w:vAlign w:val="center"/>
          </w:tcPr>
          <w:p w14:paraId="1C5FD937">
            <w:pPr>
              <w:jc w:val="left"/>
              <w:rPr>
                <w:rFonts w:hint="eastAsia" w:ascii="宋体" w:hAnsi="宋体" w:eastAsia="宋体" w:cs="宋体"/>
                <w:szCs w:val="21"/>
              </w:rPr>
            </w:pPr>
            <w:r>
              <w:rPr>
                <w:rFonts w:hint="eastAsia" w:ascii="宋体" w:hAnsi="宋体" w:eastAsia="宋体" w:cs="宋体"/>
                <w:szCs w:val="21"/>
              </w:rPr>
              <w:t>1.所有员工应身体健康，经验丰富，责任心强；2.从业人员持《特种设备从业人员证》上岗；3.常驻维保人员需有三年以上电梯维保相关工作经验。4.确保人员稳定，不得随意更换维保人员。</w:t>
            </w:r>
          </w:p>
        </w:tc>
        <w:tc>
          <w:tcPr>
            <w:tcW w:w="291" w:type="pct"/>
            <w:vAlign w:val="center"/>
          </w:tcPr>
          <w:p w14:paraId="4F800A3A">
            <w:pPr>
              <w:jc w:val="center"/>
              <w:rPr>
                <w:rFonts w:hint="eastAsia" w:ascii="宋体" w:hAnsi="宋体" w:eastAsia="宋体" w:cs="宋体"/>
                <w:szCs w:val="21"/>
              </w:rPr>
            </w:pPr>
            <w:r>
              <w:rPr>
                <w:rFonts w:hint="eastAsia" w:ascii="宋体" w:hAnsi="宋体" w:eastAsia="宋体" w:cs="宋体"/>
                <w:szCs w:val="21"/>
              </w:rPr>
              <w:t>5</w:t>
            </w:r>
          </w:p>
        </w:tc>
        <w:tc>
          <w:tcPr>
            <w:tcW w:w="1669" w:type="pct"/>
            <w:vAlign w:val="center"/>
          </w:tcPr>
          <w:p w14:paraId="09F0D22E">
            <w:pPr>
              <w:jc w:val="left"/>
              <w:rPr>
                <w:rFonts w:hint="eastAsia" w:ascii="宋体" w:hAnsi="宋体" w:eastAsia="宋体" w:cs="宋体"/>
                <w:szCs w:val="21"/>
              </w:rPr>
            </w:pPr>
            <w:r>
              <w:rPr>
                <w:rFonts w:hint="eastAsia" w:ascii="宋体" w:hAnsi="宋体" w:eastAsia="宋体" w:cs="宋体"/>
                <w:szCs w:val="21"/>
              </w:rPr>
              <w:t>查阅与核实资料，发现从业人员无证上岗，证件过期，扣5分，若发现从业人员持证但过期的，扣5分；若发现维保人员频繁更换的，影响服务质量的，扣5分/人。</w:t>
            </w:r>
          </w:p>
        </w:tc>
        <w:tc>
          <w:tcPr>
            <w:tcW w:w="651" w:type="pct"/>
            <w:vAlign w:val="center"/>
          </w:tcPr>
          <w:p w14:paraId="4C9D6BFC">
            <w:pPr>
              <w:jc w:val="center"/>
              <w:rPr>
                <w:rFonts w:hint="eastAsia" w:ascii="宋体" w:hAnsi="宋体" w:eastAsia="宋体" w:cs="宋体"/>
                <w:szCs w:val="21"/>
              </w:rPr>
            </w:pPr>
          </w:p>
        </w:tc>
      </w:tr>
      <w:tr w14:paraId="71A6AD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67" w:type="pct"/>
            <w:vAlign w:val="center"/>
          </w:tcPr>
          <w:p w14:paraId="47A728A5">
            <w:pPr>
              <w:jc w:val="center"/>
              <w:rPr>
                <w:rFonts w:hint="eastAsia" w:ascii="宋体" w:hAnsi="宋体" w:eastAsia="宋体" w:cs="宋体"/>
                <w:szCs w:val="21"/>
              </w:rPr>
            </w:pPr>
            <w:r>
              <w:rPr>
                <w:rFonts w:hint="eastAsia" w:ascii="宋体" w:hAnsi="宋体" w:eastAsia="宋体" w:cs="宋体"/>
                <w:szCs w:val="21"/>
              </w:rPr>
              <w:t>维保</w:t>
            </w:r>
          </w:p>
          <w:p w14:paraId="26D19FC4">
            <w:pPr>
              <w:jc w:val="center"/>
              <w:rPr>
                <w:rFonts w:hint="eastAsia" w:ascii="宋体" w:hAnsi="宋体" w:eastAsia="宋体" w:cs="宋体"/>
                <w:szCs w:val="21"/>
              </w:rPr>
            </w:pPr>
            <w:r>
              <w:rPr>
                <w:rFonts w:hint="eastAsia" w:ascii="宋体" w:hAnsi="宋体" w:eastAsia="宋体" w:cs="宋体"/>
                <w:szCs w:val="21"/>
              </w:rPr>
              <w:t>服务</w:t>
            </w:r>
          </w:p>
        </w:tc>
        <w:tc>
          <w:tcPr>
            <w:tcW w:w="1920" w:type="pct"/>
            <w:vAlign w:val="center"/>
          </w:tcPr>
          <w:p w14:paraId="35A2DD8E">
            <w:pPr>
              <w:jc w:val="left"/>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pacing w:val="-1"/>
                <w:szCs w:val="21"/>
              </w:rPr>
              <w:t xml:space="preserve"> 维保</w:t>
            </w:r>
            <w:r>
              <w:rPr>
                <w:rFonts w:hint="eastAsia" w:ascii="宋体" w:hAnsi="宋体" w:eastAsia="宋体" w:cs="宋体"/>
                <w:szCs w:val="21"/>
              </w:rPr>
              <w:t>人员需每月两次对电梯进行符合行业安全运行标准的检测、保养，维护保养必须按照相关操作规程，确保电梯运行正常。2.维保人员现场作业必须符合相关国家标准规定。3.设备、机房环境整洁。4.无因过失导致设备损坏、人员安全事故等。5.非特殊情况，设备故障不得超过5天未能修复。6.维保人员服务态度、服务效率、服务水平、质量方面满意度必须达到三甲医院及相关部门检查要求。7. 需及时提醒院方电梯年检期限，协助质量技术部门进行年检等技术性工作，确保电梯通过年检。8. 电梯维修时必须报备，不得影响正常秩序。</w:t>
            </w:r>
          </w:p>
        </w:tc>
        <w:tc>
          <w:tcPr>
            <w:tcW w:w="291" w:type="pct"/>
            <w:vAlign w:val="center"/>
          </w:tcPr>
          <w:p w14:paraId="7D185CB9">
            <w:pPr>
              <w:jc w:val="center"/>
              <w:rPr>
                <w:rFonts w:hint="eastAsia" w:ascii="宋体" w:hAnsi="宋体" w:eastAsia="宋体" w:cs="宋体"/>
                <w:szCs w:val="21"/>
              </w:rPr>
            </w:pPr>
            <w:r>
              <w:rPr>
                <w:rFonts w:hint="eastAsia" w:ascii="宋体" w:hAnsi="宋体" w:eastAsia="宋体" w:cs="宋体"/>
                <w:szCs w:val="21"/>
              </w:rPr>
              <w:t>10</w:t>
            </w:r>
          </w:p>
        </w:tc>
        <w:tc>
          <w:tcPr>
            <w:tcW w:w="1669" w:type="pct"/>
            <w:vAlign w:val="center"/>
          </w:tcPr>
          <w:p w14:paraId="3ADA363D">
            <w:pPr>
              <w:jc w:val="left"/>
              <w:rPr>
                <w:rFonts w:hint="eastAsia" w:ascii="宋体" w:hAnsi="宋体" w:eastAsia="宋体" w:cs="宋体"/>
                <w:szCs w:val="21"/>
              </w:rPr>
            </w:pPr>
            <w:r>
              <w:rPr>
                <w:rFonts w:hint="eastAsia" w:ascii="宋体" w:hAnsi="宋体" w:eastAsia="宋体" w:cs="宋体"/>
                <w:szCs w:val="21"/>
              </w:rPr>
              <w:t>每月定期检查，维保公司应积极配合，检查发现一项不达标扣0.5分，公司应立即整改，并在7天内完成，如7天后检查未完成整改，扣减0.5分/项。到期年检电梯并未提醒年检，一次扣5分，电梯年检不合格，扣5分/台，并按照合同或相关要求进行整改，重新检验，直至合格。</w:t>
            </w:r>
          </w:p>
        </w:tc>
        <w:tc>
          <w:tcPr>
            <w:tcW w:w="651" w:type="pct"/>
            <w:vAlign w:val="center"/>
          </w:tcPr>
          <w:p w14:paraId="2D659876">
            <w:pPr>
              <w:jc w:val="center"/>
              <w:rPr>
                <w:rFonts w:hint="eastAsia" w:ascii="宋体" w:hAnsi="宋体" w:eastAsia="宋体" w:cs="宋体"/>
                <w:szCs w:val="21"/>
              </w:rPr>
            </w:pPr>
          </w:p>
        </w:tc>
      </w:tr>
      <w:tr w14:paraId="0BD52D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6" w:hRule="atLeast"/>
          <w:jc w:val="center"/>
        </w:trPr>
        <w:tc>
          <w:tcPr>
            <w:tcW w:w="467" w:type="pct"/>
            <w:vAlign w:val="center"/>
          </w:tcPr>
          <w:p w14:paraId="4415F368">
            <w:pPr>
              <w:jc w:val="center"/>
              <w:rPr>
                <w:rFonts w:hint="eastAsia" w:ascii="宋体" w:hAnsi="宋体" w:eastAsia="宋体" w:cs="宋体"/>
                <w:szCs w:val="21"/>
              </w:rPr>
            </w:pPr>
            <w:r>
              <w:rPr>
                <w:rFonts w:hint="eastAsia" w:ascii="宋体" w:hAnsi="宋体" w:eastAsia="宋体" w:cs="宋体"/>
                <w:szCs w:val="21"/>
              </w:rPr>
              <w:t>质量</w:t>
            </w:r>
          </w:p>
          <w:p w14:paraId="7FD1A4DE">
            <w:pPr>
              <w:jc w:val="center"/>
              <w:rPr>
                <w:rFonts w:hint="eastAsia" w:ascii="宋体" w:hAnsi="宋体" w:eastAsia="宋体" w:cs="宋体"/>
                <w:szCs w:val="21"/>
              </w:rPr>
            </w:pPr>
            <w:r>
              <w:rPr>
                <w:rFonts w:hint="eastAsia" w:ascii="宋体" w:hAnsi="宋体" w:eastAsia="宋体" w:cs="宋体"/>
                <w:szCs w:val="21"/>
              </w:rPr>
              <w:t>安全</w:t>
            </w:r>
          </w:p>
        </w:tc>
        <w:tc>
          <w:tcPr>
            <w:tcW w:w="1920" w:type="pct"/>
            <w:vAlign w:val="center"/>
          </w:tcPr>
          <w:p w14:paraId="34E7F41E">
            <w:pPr>
              <w:jc w:val="left"/>
              <w:rPr>
                <w:rFonts w:hint="eastAsia" w:ascii="宋体" w:hAnsi="宋体" w:eastAsia="宋体" w:cs="宋体"/>
                <w:szCs w:val="21"/>
              </w:rPr>
            </w:pPr>
            <w:r>
              <w:rPr>
                <w:rFonts w:hint="eastAsia" w:ascii="宋体" w:hAnsi="宋体" w:eastAsia="宋体" w:cs="宋体"/>
                <w:szCs w:val="21"/>
              </w:rPr>
              <w:t>1.维保人员应保持电梯机房环境干燥、干净整洁；门窗关闭，禁闭；标识、图纸、说明书等齐全；主机、线槽清洁等。保证轿顶、轿厢、底坑及井道等部位干净清洁，无异常，电梯运行正常，标识完整。</w:t>
            </w:r>
          </w:p>
          <w:p w14:paraId="10D4633A">
            <w:pPr>
              <w:jc w:val="left"/>
              <w:rPr>
                <w:rFonts w:hint="eastAsia" w:ascii="宋体" w:hAnsi="宋体" w:eastAsia="宋体" w:cs="宋体"/>
                <w:szCs w:val="21"/>
              </w:rPr>
            </w:pPr>
            <w:r>
              <w:rPr>
                <w:rFonts w:hint="eastAsia" w:ascii="宋体" w:hAnsi="宋体" w:eastAsia="宋体" w:cs="宋体"/>
                <w:szCs w:val="21"/>
              </w:rPr>
              <w:t>2.维保人员应保证救援装置及各开关正常，功能有效；主机/抱闸/限速器、控制柜、轿门/厅门、轿厢、底坑等无异常情况，各功能正常，运行正常；钢丝绳/补偿链、门挂轮、偏心轮等配件磨损正常。</w:t>
            </w:r>
          </w:p>
        </w:tc>
        <w:tc>
          <w:tcPr>
            <w:tcW w:w="291" w:type="pct"/>
            <w:vAlign w:val="center"/>
          </w:tcPr>
          <w:p w14:paraId="7B29A569">
            <w:pPr>
              <w:jc w:val="center"/>
              <w:rPr>
                <w:rFonts w:hint="eastAsia" w:ascii="宋体" w:hAnsi="宋体" w:eastAsia="宋体" w:cs="宋体"/>
                <w:szCs w:val="21"/>
              </w:rPr>
            </w:pPr>
            <w:r>
              <w:rPr>
                <w:rFonts w:hint="eastAsia" w:ascii="宋体" w:hAnsi="宋体" w:eastAsia="宋体" w:cs="宋体"/>
                <w:szCs w:val="21"/>
              </w:rPr>
              <w:t xml:space="preserve">25 </w:t>
            </w:r>
          </w:p>
        </w:tc>
        <w:tc>
          <w:tcPr>
            <w:tcW w:w="1669" w:type="pct"/>
            <w:vAlign w:val="center"/>
          </w:tcPr>
          <w:p w14:paraId="6DA3C05E">
            <w:pPr>
              <w:jc w:val="left"/>
              <w:rPr>
                <w:rFonts w:hint="eastAsia" w:ascii="宋体" w:hAnsi="宋体" w:eastAsia="宋体" w:cs="宋体"/>
                <w:szCs w:val="21"/>
              </w:rPr>
            </w:pPr>
            <w:r>
              <w:rPr>
                <w:rFonts w:hint="eastAsia" w:ascii="宋体" w:hAnsi="宋体" w:eastAsia="宋体" w:cs="宋体"/>
                <w:szCs w:val="21"/>
              </w:rPr>
              <w:t>每月定期检查，维保公司应积极配合，检查发现一项电梯质量或安全不达标扣1分，公司应立即整改，并在7天内完成，如7天后检查未完成整改，扣减1分/项，若电梯因安全质量问题，导致严重事故，采购人有权索赔并单方面终止合同。</w:t>
            </w:r>
          </w:p>
        </w:tc>
        <w:tc>
          <w:tcPr>
            <w:tcW w:w="651" w:type="pct"/>
            <w:vAlign w:val="center"/>
          </w:tcPr>
          <w:p w14:paraId="76010338">
            <w:pPr>
              <w:jc w:val="center"/>
              <w:rPr>
                <w:rFonts w:hint="eastAsia" w:ascii="宋体" w:hAnsi="宋体" w:eastAsia="宋体" w:cs="宋体"/>
                <w:szCs w:val="21"/>
              </w:rPr>
            </w:pPr>
          </w:p>
        </w:tc>
      </w:tr>
      <w:tr w14:paraId="61EB90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78" w:hRule="atLeast"/>
          <w:jc w:val="center"/>
        </w:trPr>
        <w:tc>
          <w:tcPr>
            <w:tcW w:w="467" w:type="pct"/>
            <w:vAlign w:val="center"/>
          </w:tcPr>
          <w:p w14:paraId="42E93F5D">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工作</w:t>
            </w:r>
          </w:p>
          <w:p w14:paraId="0B829133">
            <w:pPr>
              <w:jc w:val="center"/>
              <w:rPr>
                <w:rFonts w:hint="eastAsia" w:ascii="宋体" w:hAnsi="宋体" w:eastAsia="宋体" w:cs="宋体"/>
                <w:szCs w:val="21"/>
              </w:rPr>
            </w:pPr>
            <w:r>
              <w:rPr>
                <w:rFonts w:hint="eastAsia" w:ascii="宋体" w:hAnsi="宋体" w:eastAsia="宋体" w:cs="宋体"/>
                <w:szCs w:val="21"/>
              </w:rPr>
              <w:t>资料</w:t>
            </w:r>
          </w:p>
        </w:tc>
        <w:tc>
          <w:tcPr>
            <w:tcW w:w="1920" w:type="pct"/>
            <w:vAlign w:val="center"/>
          </w:tcPr>
          <w:p w14:paraId="141C0CE5">
            <w:pPr>
              <w:jc w:val="left"/>
              <w:rPr>
                <w:rFonts w:hint="eastAsia" w:ascii="宋体" w:hAnsi="宋体" w:eastAsia="宋体" w:cs="宋体"/>
                <w:szCs w:val="21"/>
              </w:rPr>
            </w:pPr>
            <w:r>
              <w:rPr>
                <w:rFonts w:hint="eastAsia" w:ascii="宋体" w:hAnsi="宋体" w:eastAsia="宋体" w:cs="宋体"/>
                <w:szCs w:val="21"/>
              </w:rPr>
              <w:t xml:space="preserve">1.每月提交电梯维保计划并经医院管理部门审核执行，每半个月向主管部门提交书面报告维护保养电梯的运行情况、安全防控措施、零部件使用情况、易损件的更换情况及电梯更换修理需求，电梯故障记录以及电梯困人书面总结报告。2．公司妥善保管电梯资料（含维修保养资料）需提交医院管理部门备份存档。 </w:t>
            </w:r>
          </w:p>
        </w:tc>
        <w:tc>
          <w:tcPr>
            <w:tcW w:w="291" w:type="pct"/>
            <w:vAlign w:val="center"/>
          </w:tcPr>
          <w:p w14:paraId="6F6D2339">
            <w:pPr>
              <w:jc w:val="center"/>
              <w:rPr>
                <w:rFonts w:hint="eastAsia" w:ascii="宋体" w:hAnsi="宋体" w:eastAsia="宋体" w:cs="宋体"/>
                <w:szCs w:val="21"/>
              </w:rPr>
            </w:pPr>
            <w:r>
              <w:rPr>
                <w:rFonts w:hint="eastAsia" w:ascii="宋体" w:hAnsi="宋体" w:eastAsia="宋体" w:cs="宋体"/>
                <w:szCs w:val="21"/>
              </w:rPr>
              <w:t>10</w:t>
            </w:r>
          </w:p>
        </w:tc>
        <w:tc>
          <w:tcPr>
            <w:tcW w:w="1669" w:type="pct"/>
            <w:vAlign w:val="center"/>
          </w:tcPr>
          <w:p w14:paraId="2B7FF51D">
            <w:pPr>
              <w:jc w:val="left"/>
              <w:rPr>
                <w:rFonts w:hint="eastAsia" w:ascii="宋体" w:hAnsi="宋体" w:eastAsia="宋体" w:cs="宋体"/>
                <w:szCs w:val="21"/>
              </w:rPr>
            </w:pPr>
            <w:r>
              <w:rPr>
                <w:rFonts w:hint="eastAsia" w:ascii="宋体" w:hAnsi="宋体" w:eastAsia="宋体" w:cs="宋体"/>
                <w:szCs w:val="21"/>
              </w:rPr>
              <w:t>未按要求提交维保计划及相关运行记录的，扣2分/次；项目相关资料不齐全的，每缺少一项扣2分，扣完为止。</w:t>
            </w:r>
          </w:p>
        </w:tc>
        <w:tc>
          <w:tcPr>
            <w:tcW w:w="651" w:type="pct"/>
            <w:vAlign w:val="center"/>
          </w:tcPr>
          <w:p w14:paraId="10E49B6F">
            <w:pPr>
              <w:jc w:val="center"/>
              <w:rPr>
                <w:rFonts w:hint="eastAsia" w:ascii="宋体" w:hAnsi="宋体" w:eastAsia="宋体" w:cs="宋体"/>
                <w:szCs w:val="21"/>
              </w:rPr>
            </w:pPr>
          </w:p>
        </w:tc>
      </w:tr>
      <w:tr w14:paraId="282345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80" w:hRule="atLeast"/>
          <w:jc w:val="center"/>
        </w:trPr>
        <w:tc>
          <w:tcPr>
            <w:tcW w:w="467" w:type="pct"/>
            <w:vAlign w:val="center"/>
          </w:tcPr>
          <w:p w14:paraId="4D2BE884">
            <w:pPr>
              <w:jc w:val="center"/>
              <w:rPr>
                <w:rFonts w:hint="eastAsia" w:ascii="宋体" w:hAnsi="宋体" w:eastAsia="宋体" w:cs="宋体"/>
                <w:szCs w:val="21"/>
              </w:rPr>
            </w:pPr>
            <w:r>
              <w:rPr>
                <w:rFonts w:hint="eastAsia" w:ascii="宋体" w:hAnsi="宋体" w:eastAsia="宋体" w:cs="宋体"/>
                <w:szCs w:val="21"/>
              </w:rPr>
              <w:t>维修</w:t>
            </w:r>
          </w:p>
          <w:p w14:paraId="60383B64">
            <w:pPr>
              <w:jc w:val="center"/>
              <w:rPr>
                <w:rFonts w:hint="eastAsia" w:ascii="宋体" w:hAnsi="宋体" w:eastAsia="宋体" w:cs="宋体"/>
                <w:szCs w:val="21"/>
              </w:rPr>
            </w:pPr>
            <w:r>
              <w:rPr>
                <w:rFonts w:hint="eastAsia" w:ascii="宋体" w:hAnsi="宋体" w:eastAsia="宋体" w:cs="宋体"/>
                <w:szCs w:val="21"/>
              </w:rPr>
              <w:t>配件</w:t>
            </w:r>
          </w:p>
        </w:tc>
        <w:tc>
          <w:tcPr>
            <w:tcW w:w="1920" w:type="pct"/>
            <w:vAlign w:val="center"/>
          </w:tcPr>
          <w:p w14:paraId="49065C2E">
            <w:pPr>
              <w:jc w:val="left"/>
              <w:rPr>
                <w:rFonts w:hint="eastAsia" w:ascii="宋体" w:hAnsi="宋体" w:eastAsia="宋体" w:cs="宋体"/>
                <w:szCs w:val="21"/>
              </w:rPr>
            </w:pPr>
            <w:r>
              <w:rPr>
                <w:rFonts w:hint="eastAsia" w:ascii="宋体" w:hAnsi="宋体" w:eastAsia="宋体" w:cs="宋体"/>
                <w:szCs w:val="21"/>
              </w:rPr>
              <w:t>如零配件由维保公司提供的,须提供优质的原厂配件,且需提供出厂证明，必须符合相关国家标准。维修更换的零配件（维保公司提供）保修期为自验收之日起1年。</w:t>
            </w:r>
          </w:p>
        </w:tc>
        <w:tc>
          <w:tcPr>
            <w:tcW w:w="291" w:type="pct"/>
            <w:vAlign w:val="center"/>
          </w:tcPr>
          <w:p w14:paraId="1D9B5383">
            <w:pPr>
              <w:jc w:val="center"/>
              <w:rPr>
                <w:rFonts w:hint="eastAsia" w:ascii="宋体" w:hAnsi="宋体" w:eastAsia="宋体" w:cs="宋体"/>
                <w:szCs w:val="21"/>
              </w:rPr>
            </w:pPr>
            <w:r>
              <w:rPr>
                <w:rFonts w:hint="eastAsia" w:ascii="宋体" w:hAnsi="宋体" w:eastAsia="宋体" w:cs="宋体"/>
                <w:szCs w:val="21"/>
              </w:rPr>
              <w:t>10</w:t>
            </w:r>
          </w:p>
        </w:tc>
        <w:tc>
          <w:tcPr>
            <w:tcW w:w="1669" w:type="pct"/>
            <w:vAlign w:val="center"/>
          </w:tcPr>
          <w:p w14:paraId="1D24E667">
            <w:pPr>
              <w:jc w:val="left"/>
              <w:rPr>
                <w:rFonts w:hint="eastAsia" w:ascii="宋体" w:hAnsi="宋体" w:eastAsia="宋体" w:cs="宋体"/>
                <w:szCs w:val="21"/>
              </w:rPr>
            </w:pPr>
            <w:r>
              <w:rPr>
                <w:rFonts w:hint="eastAsia" w:ascii="宋体" w:hAnsi="宋体" w:eastAsia="宋体" w:cs="宋体"/>
                <w:szCs w:val="21"/>
              </w:rPr>
              <w:t>如发现维保公司提供更换的配件不符合相关国家标准或短时间内反复维修，一次扣1分，并要求3天内更换合格配件，若3天后检查仍未整改，扣5分。如因配件质量问题造成严重事故的，采购人有权索赔并单方面终止合同。</w:t>
            </w:r>
          </w:p>
        </w:tc>
        <w:tc>
          <w:tcPr>
            <w:tcW w:w="651" w:type="pct"/>
            <w:vAlign w:val="center"/>
          </w:tcPr>
          <w:p w14:paraId="177339AA">
            <w:pPr>
              <w:jc w:val="center"/>
              <w:rPr>
                <w:rFonts w:hint="eastAsia" w:ascii="宋体" w:hAnsi="宋体" w:eastAsia="宋体" w:cs="宋体"/>
                <w:szCs w:val="21"/>
              </w:rPr>
            </w:pPr>
          </w:p>
        </w:tc>
      </w:tr>
      <w:tr w14:paraId="0B4DC8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67" w:type="pct"/>
            <w:vAlign w:val="center"/>
          </w:tcPr>
          <w:p w14:paraId="2CA15C36">
            <w:pPr>
              <w:jc w:val="center"/>
              <w:rPr>
                <w:rFonts w:hint="eastAsia" w:ascii="宋体" w:hAnsi="宋体" w:eastAsia="宋体" w:cs="宋体"/>
                <w:b/>
                <w:bCs/>
                <w:szCs w:val="21"/>
              </w:rPr>
            </w:pPr>
            <w:r>
              <w:rPr>
                <w:rFonts w:hint="eastAsia" w:ascii="宋体" w:hAnsi="宋体" w:eastAsia="宋体" w:cs="宋体"/>
                <w:b/>
                <w:bCs/>
                <w:szCs w:val="21"/>
              </w:rPr>
              <w:t>合计</w:t>
            </w:r>
          </w:p>
        </w:tc>
        <w:tc>
          <w:tcPr>
            <w:tcW w:w="1920" w:type="pct"/>
            <w:vAlign w:val="center"/>
          </w:tcPr>
          <w:p w14:paraId="04332210">
            <w:pPr>
              <w:jc w:val="center"/>
              <w:rPr>
                <w:rFonts w:hint="eastAsia" w:ascii="宋体" w:hAnsi="宋体" w:eastAsia="宋体" w:cs="宋体"/>
                <w:b/>
                <w:bCs/>
                <w:szCs w:val="21"/>
              </w:rPr>
            </w:pPr>
          </w:p>
        </w:tc>
        <w:tc>
          <w:tcPr>
            <w:tcW w:w="291" w:type="pct"/>
            <w:vAlign w:val="center"/>
          </w:tcPr>
          <w:p w14:paraId="0FA53229">
            <w:pPr>
              <w:jc w:val="center"/>
              <w:rPr>
                <w:rFonts w:hint="eastAsia" w:ascii="宋体" w:hAnsi="宋体" w:eastAsia="宋体" w:cs="宋体"/>
                <w:b/>
                <w:bCs/>
                <w:szCs w:val="21"/>
              </w:rPr>
            </w:pPr>
            <w:r>
              <w:rPr>
                <w:rFonts w:hint="eastAsia" w:ascii="宋体" w:hAnsi="宋体" w:eastAsia="宋体" w:cs="宋体"/>
                <w:b/>
                <w:bCs/>
                <w:szCs w:val="21"/>
              </w:rPr>
              <w:t>100</w:t>
            </w:r>
          </w:p>
        </w:tc>
        <w:tc>
          <w:tcPr>
            <w:tcW w:w="1669" w:type="pct"/>
            <w:vAlign w:val="center"/>
          </w:tcPr>
          <w:p w14:paraId="6B828B7F">
            <w:pPr>
              <w:jc w:val="left"/>
              <w:rPr>
                <w:rFonts w:hint="eastAsia" w:ascii="宋体" w:hAnsi="宋体" w:eastAsia="宋体" w:cs="宋体"/>
                <w:b/>
                <w:bCs/>
                <w:szCs w:val="21"/>
              </w:rPr>
            </w:pPr>
          </w:p>
        </w:tc>
        <w:tc>
          <w:tcPr>
            <w:tcW w:w="651" w:type="pct"/>
            <w:vAlign w:val="center"/>
          </w:tcPr>
          <w:p w14:paraId="7509CB22">
            <w:pPr>
              <w:jc w:val="center"/>
              <w:rPr>
                <w:rFonts w:hint="eastAsia" w:ascii="宋体" w:hAnsi="宋体" w:eastAsia="宋体" w:cs="宋体"/>
                <w:b/>
                <w:bCs/>
                <w:szCs w:val="21"/>
              </w:rPr>
            </w:pPr>
          </w:p>
        </w:tc>
      </w:tr>
    </w:tbl>
    <w:p w14:paraId="124E1993">
      <w:pPr>
        <w:pStyle w:val="6"/>
        <w:keepNext w:val="0"/>
        <w:keepLines w:val="0"/>
        <w:pageBreakBefore w:val="0"/>
        <w:kinsoku/>
        <w:wordWrap/>
        <w:overflowPunct/>
        <w:topLinePunct w:val="0"/>
        <w:bidi w:val="0"/>
        <w:snapToGrid/>
        <w:spacing w:line="360" w:lineRule="auto"/>
        <w:rPr>
          <w:rFonts w:hint="default"/>
          <w:lang w:val="en-US" w:eastAsia="zh-CN"/>
        </w:rPr>
      </w:pPr>
    </w:p>
    <w:p w14:paraId="58D3AAC7">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lang w:val="en-US" w:eastAsia="zh-CN"/>
        </w:rPr>
        <w:t>七</w:t>
      </w:r>
      <w:r>
        <w:rPr>
          <w:rFonts w:hint="eastAsia" w:ascii="宋体" w:hAnsi="宋体"/>
          <w:sz w:val="24"/>
        </w:rPr>
        <w:t>、责任条款</w:t>
      </w:r>
    </w:p>
    <w:p w14:paraId="04E97680">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1、由于电梯保养不善造成人员和财产损失的，成交人须负责赔偿。不可抗力造成的损失除外。</w:t>
      </w:r>
    </w:p>
    <w:p w14:paraId="017F0EA0">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2、电梯到期年检不合格，成交人承担电梯复验的检測费用。</w:t>
      </w:r>
    </w:p>
    <w:p w14:paraId="04004DDF">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3、成交人须制订严谨的安全规程规范，遵守国家、省及地方各项有关安全规定。成交人的工作人员人身安全、保险等由成交人全面负责,与招标人无关。</w:t>
      </w:r>
    </w:p>
    <w:p w14:paraId="49A76D2B">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4、★成交人需购买4</w:t>
      </w:r>
      <w:r>
        <w:rPr>
          <w:rFonts w:hint="eastAsia" w:ascii="宋体" w:hAnsi="宋体"/>
          <w:sz w:val="24"/>
          <w:lang w:val="en-US" w:eastAsia="zh-CN"/>
        </w:rPr>
        <w:t>7</w:t>
      </w:r>
      <w:r>
        <w:rPr>
          <w:rFonts w:hint="eastAsia" w:ascii="宋体" w:hAnsi="宋体"/>
          <w:sz w:val="24"/>
        </w:rPr>
        <w:t>台电梯的电梯责任保险和人员责任安全保险,保险费包含在维保费用内,医院不作另外支付。</w:t>
      </w:r>
    </w:p>
    <w:p w14:paraId="6AA6C7DB">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5、在珠三角范围内设有固定维修保养机构，并有24小时报修电话。</w:t>
      </w:r>
    </w:p>
    <w:p w14:paraId="14DCD0B8">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color w:val="FF0000"/>
          <w:sz w:val="24"/>
        </w:rPr>
      </w:pPr>
      <w:r>
        <w:rPr>
          <w:rFonts w:hint="eastAsia" w:ascii="宋体" w:hAnsi="宋体"/>
          <w:color w:val="FF0000"/>
          <w:sz w:val="24"/>
        </w:rPr>
        <w:t>6、电梯出现故障时接到通知后10分钟到达现场，未能按规定时间内到达现场的每次扣处100元；</w:t>
      </w:r>
    </w:p>
    <w:p w14:paraId="14721E41">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color w:val="FF0000"/>
          <w:sz w:val="24"/>
        </w:rPr>
      </w:pPr>
      <w:r>
        <w:rPr>
          <w:rFonts w:hint="eastAsia" w:ascii="宋体" w:hAnsi="宋体"/>
          <w:color w:val="FF0000"/>
          <w:sz w:val="24"/>
        </w:rPr>
        <w:t>7、电梯出现故障时，接到通知后30分钟内将乘客放出，未能按规定时间将乘客放出的每次扣处100元；</w:t>
      </w:r>
    </w:p>
    <w:p w14:paraId="6BACD831">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color w:val="FF0000"/>
          <w:sz w:val="24"/>
        </w:rPr>
      </w:pPr>
      <w:r>
        <w:rPr>
          <w:rFonts w:hint="eastAsia" w:ascii="宋体" w:hAnsi="宋体"/>
          <w:color w:val="FF0000"/>
          <w:sz w:val="24"/>
        </w:rPr>
        <w:t>8、按相关电梯维护保养规定条例要求：至少每十五日对电梯进行维护保养工作，如出现超期保养每台每次扣处200元；</w:t>
      </w:r>
    </w:p>
    <w:p w14:paraId="4B0BDED9">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color w:val="FF0000"/>
          <w:sz w:val="24"/>
        </w:rPr>
      </w:pPr>
      <w:r>
        <w:rPr>
          <w:rFonts w:hint="eastAsia" w:ascii="宋体" w:hAnsi="宋体"/>
          <w:color w:val="FF0000"/>
          <w:sz w:val="24"/>
        </w:rPr>
        <w:t>9、维护保养单位配合办理电梯每年定期检验，由于维护保养单位造成电梯过期未检或检验不合格承担复检费用，每台每次扣处200元。</w:t>
      </w:r>
    </w:p>
    <w:p w14:paraId="2DCABB49">
      <w:pPr>
        <w:keepNext w:val="0"/>
        <w:keepLines w:val="0"/>
        <w:pageBreakBefore w:val="0"/>
        <w:tabs>
          <w:tab w:val="left" w:pos="616"/>
        </w:tabs>
        <w:kinsoku/>
        <w:wordWrap/>
        <w:overflowPunct/>
        <w:topLinePunct w:val="0"/>
        <w:bidi w:val="0"/>
        <w:snapToGrid/>
        <w:spacing w:beforeLines="20" w:line="360" w:lineRule="auto"/>
        <w:rPr>
          <w:rFonts w:hint="eastAsia" w:ascii="宋体" w:hAnsi="宋体"/>
          <w:sz w:val="24"/>
        </w:rPr>
      </w:pPr>
      <w:r>
        <w:rPr>
          <w:rFonts w:hint="eastAsia" w:ascii="宋体" w:hAnsi="宋体"/>
          <w:sz w:val="24"/>
          <w:lang w:val="en-US" w:eastAsia="zh-CN"/>
        </w:rPr>
        <w:t>八</w:t>
      </w:r>
      <w:r>
        <w:rPr>
          <w:rFonts w:hint="eastAsia" w:ascii="宋体" w:hAnsi="宋体"/>
          <w:sz w:val="24"/>
        </w:rPr>
        <w:t>、付款方式</w:t>
      </w:r>
    </w:p>
    <w:p w14:paraId="107FE5D2">
      <w:pPr>
        <w:keepNext w:val="0"/>
        <w:keepLines w:val="0"/>
        <w:pageBreakBefore w:val="0"/>
        <w:widowControl w:val="0"/>
        <w:tabs>
          <w:tab w:val="left" w:pos="616"/>
        </w:tabs>
        <w:kinsoku/>
        <w:wordWrap/>
        <w:overflowPunct/>
        <w:topLinePunct w:val="0"/>
        <w:autoSpaceDE/>
        <w:autoSpaceDN/>
        <w:bidi w:val="0"/>
        <w:adjustRightInd/>
        <w:snapToGrid/>
        <w:spacing w:beforeLines="20" w:line="360" w:lineRule="auto"/>
        <w:ind w:firstLine="480" w:firstLineChars="200"/>
        <w:textAlignment w:val="auto"/>
      </w:pPr>
      <w:r>
        <w:rPr>
          <w:rFonts w:hint="eastAsia" w:ascii="宋体" w:hAnsi="宋体"/>
          <w:sz w:val="24"/>
          <w:lang w:val="en-US" w:eastAsia="zh-CN"/>
        </w:rPr>
        <w:t>1、服务费的支付：采购人按季度支付服务费（根据每季度的服务质量考核结果以及当季度维保电梯台数支付服务费）。采购人主管部门每月15日前将服务质量考核结果反馈给成交供应商，成交供应商对考核结果有异议的，应在收到反馈意见后两天内提交书面意见，逾期未提交视为同意。经双方确定服务费用，成交供应商开具有效普通增值税发票，采购人收到发票并审核无误后一个月内支付费用。</w:t>
      </w:r>
    </w:p>
    <w:p w14:paraId="55158E2E">
      <w:pPr>
        <w:keepNext w:val="0"/>
        <w:keepLines w:val="0"/>
        <w:pageBreakBefore w:val="0"/>
        <w:tabs>
          <w:tab w:val="left" w:pos="616"/>
        </w:tabs>
        <w:kinsoku/>
        <w:wordWrap/>
        <w:overflowPunct/>
        <w:topLinePunct w:val="0"/>
        <w:bidi w:val="0"/>
        <w:snapToGrid/>
        <w:spacing w:beforeLines="20" w:line="360" w:lineRule="auto"/>
        <w:ind w:firstLine="480" w:firstLineChars="200"/>
        <w:rPr>
          <w:rFonts w:ascii="宋体" w:hAnsi="宋体"/>
          <w:sz w:val="24"/>
        </w:rPr>
      </w:pPr>
      <w:r>
        <w:rPr>
          <w:rFonts w:hint="eastAsia" w:ascii="宋体" w:hAnsi="宋体"/>
          <w:sz w:val="24"/>
        </w:rPr>
        <w:t>2、</w:t>
      </w:r>
      <w:r>
        <w:rPr>
          <w:rFonts w:hint="eastAsia" w:ascii="宋体" w:hAnsi="宋体"/>
          <w:sz w:val="24"/>
          <w:lang w:val="en-US" w:eastAsia="zh-CN"/>
        </w:rPr>
        <w:t>成交供应商</w:t>
      </w:r>
      <w:r>
        <w:rPr>
          <w:rFonts w:hint="eastAsia" w:ascii="宋体" w:hAnsi="宋体"/>
          <w:sz w:val="24"/>
        </w:rPr>
        <w:t>凭以下有效文件与采购人结算:</w:t>
      </w:r>
    </w:p>
    <w:p w14:paraId="5CB0088E">
      <w:pPr>
        <w:keepNext w:val="0"/>
        <w:keepLines w:val="0"/>
        <w:pageBreakBefore w:val="0"/>
        <w:tabs>
          <w:tab w:val="left" w:pos="616"/>
        </w:tabs>
        <w:kinsoku/>
        <w:wordWrap/>
        <w:overflowPunct/>
        <w:topLinePunct w:val="0"/>
        <w:bidi w:val="0"/>
        <w:snapToGrid/>
        <w:spacing w:beforeLines="20" w:line="360" w:lineRule="auto"/>
        <w:ind w:firstLine="480" w:firstLineChars="200"/>
        <w:rPr>
          <w:rFonts w:hint="eastAsia" w:ascii="宋体" w:hAnsi="宋体"/>
          <w:sz w:val="24"/>
        </w:rPr>
      </w:pPr>
      <w:r>
        <w:rPr>
          <w:rFonts w:hint="eastAsia" w:ascii="宋体" w:hAnsi="宋体"/>
          <w:sz w:val="24"/>
        </w:rPr>
        <w:t>（1）合同；</w:t>
      </w:r>
    </w:p>
    <w:p w14:paraId="30E4B54B">
      <w:pPr>
        <w:keepNext w:val="0"/>
        <w:keepLines w:val="0"/>
        <w:pageBreakBefore w:val="0"/>
        <w:tabs>
          <w:tab w:val="left" w:pos="616"/>
        </w:tabs>
        <w:kinsoku/>
        <w:wordWrap/>
        <w:overflowPunct/>
        <w:topLinePunct w:val="0"/>
        <w:bidi w:val="0"/>
        <w:snapToGrid/>
        <w:spacing w:beforeLines="20" w:line="360" w:lineRule="auto"/>
        <w:ind w:firstLine="480" w:firstLineChars="200"/>
        <w:rPr>
          <w:rFonts w:hint="eastAsia" w:ascii="宋体" w:hAnsi="宋体" w:eastAsia="宋体"/>
          <w:sz w:val="24"/>
          <w:lang w:eastAsia="zh-CN"/>
        </w:rPr>
      </w:pPr>
      <w:r>
        <w:rPr>
          <w:rFonts w:hint="eastAsia" w:ascii="宋体" w:hAnsi="宋体"/>
          <w:sz w:val="24"/>
        </w:rPr>
        <w:t>（</w:t>
      </w:r>
      <w:r>
        <w:rPr>
          <w:rFonts w:hint="eastAsia" w:ascii="宋体" w:hAnsi="宋体"/>
          <w:sz w:val="24"/>
          <w:lang w:val="en-US" w:eastAsia="zh-CN"/>
        </w:rPr>
        <w:t>2</w:t>
      </w:r>
      <w:r>
        <w:rPr>
          <w:rFonts w:hint="eastAsia" w:ascii="宋体" w:hAnsi="宋体"/>
          <w:sz w:val="24"/>
        </w:rPr>
        <w:t>）中标人开具的正式</w:t>
      </w:r>
      <w:r>
        <w:rPr>
          <w:rFonts w:hint="eastAsia" w:ascii="宋体" w:hAnsi="宋体"/>
          <w:sz w:val="24"/>
          <w:lang w:val="en-US" w:eastAsia="zh-CN"/>
        </w:rPr>
        <w:t>普通增值税</w:t>
      </w:r>
      <w:r>
        <w:rPr>
          <w:rFonts w:hint="eastAsia" w:ascii="宋体" w:hAnsi="宋体"/>
          <w:sz w:val="24"/>
        </w:rPr>
        <w:t>发票</w:t>
      </w:r>
      <w:r>
        <w:rPr>
          <w:rFonts w:hint="eastAsia" w:ascii="宋体" w:hAnsi="宋体"/>
          <w:sz w:val="24"/>
          <w:lang w:eastAsia="zh-CN"/>
        </w:rPr>
        <w:t>。</w:t>
      </w:r>
    </w:p>
    <w:p w14:paraId="1356D884">
      <w:pPr>
        <w:keepNext w:val="0"/>
        <w:keepLines w:val="0"/>
        <w:pageBreakBefore w:val="0"/>
        <w:tabs>
          <w:tab w:val="left" w:pos="616"/>
        </w:tabs>
        <w:kinsoku/>
        <w:wordWrap/>
        <w:overflowPunct/>
        <w:topLinePunct w:val="0"/>
        <w:bidi w:val="0"/>
        <w:snapToGrid/>
        <w:spacing w:beforeLines="20" w:line="360" w:lineRule="auto"/>
        <w:rPr>
          <w:rFonts w:ascii="宋体" w:hAnsi="宋体"/>
          <w:sz w:val="24"/>
        </w:rPr>
      </w:pPr>
      <w:r>
        <w:rPr>
          <w:rFonts w:hint="eastAsia" w:ascii="宋体" w:hAnsi="宋体"/>
          <w:sz w:val="24"/>
          <w:lang w:val="en-US" w:eastAsia="zh-CN"/>
        </w:rPr>
        <w:t>九</w:t>
      </w:r>
      <w:r>
        <w:rPr>
          <w:rFonts w:hint="eastAsia" w:ascii="宋体" w:hAnsi="宋体"/>
          <w:sz w:val="24"/>
        </w:rPr>
        <w:t>、</w:t>
      </w:r>
      <w:r>
        <w:rPr>
          <w:rFonts w:hint="eastAsia" w:ascii="宋体" w:hAnsi="宋体"/>
          <w:sz w:val="24"/>
          <w:lang w:val="en-US" w:eastAsia="zh-CN"/>
        </w:rPr>
        <w:t>采购</w:t>
      </w:r>
      <w:r>
        <w:rPr>
          <w:rFonts w:hint="eastAsia" w:ascii="宋体" w:hAnsi="宋体"/>
          <w:sz w:val="24"/>
        </w:rPr>
        <w:t>人配合条件</w:t>
      </w:r>
    </w:p>
    <w:p w14:paraId="0E623E00">
      <w:pPr>
        <w:keepNext w:val="0"/>
        <w:keepLines w:val="0"/>
        <w:pageBreakBefore w:val="0"/>
        <w:tabs>
          <w:tab w:val="left" w:pos="616"/>
        </w:tabs>
        <w:kinsoku/>
        <w:wordWrap/>
        <w:overflowPunct/>
        <w:topLinePunct w:val="0"/>
        <w:bidi w:val="0"/>
        <w:snapToGrid/>
        <w:spacing w:beforeLines="20" w:line="360" w:lineRule="auto"/>
        <w:ind w:firstLine="480" w:firstLineChars="200"/>
        <w:rPr>
          <w:rFonts w:hint="eastAsia" w:ascii="宋体" w:hAnsi="宋体"/>
          <w:sz w:val="24"/>
        </w:rPr>
      </w:pPr>
      <w:r>
        <w:rPr>
          <w:rFonts w:hint="eastAsia" w:ascii="宋体" w:hAnsi="宋体"/>
          <w:sz w:val="24"/>
          <w:lang w:val="en-US" w:eastAsia="zh-CN"/>
        </w:rPr>
        <w:t>响应供应商</w:t>
      </w:r>
      <w:r>
        <w:rPr>
          <w:rFonts w:hint="eastAsia" w:ascii="宋体" w:hAnsi="宋体"/>
          <w:sz w:val="24"/>
        </w:rPr>
        <w:t>在响应文件中可列明在项目实施过程中需要</w:t>
      </w:r>
      <w:r>
        <w:rPr>
          <w:rFonts w:hint="eastAsia" w:ascii="宋体" w:hAnsi="宋体"/>
          <w:sz w:val="24"/>
          <w:lang w:val="en-US" w:eastAsia="zh-CN"/>
        </w:rPr>
        <w:t>采购</w:t>
      </w:r>
      <w:r>
        <w:rPr>
          <w:rFonts w:hint="eastAsia" w:ascii="宋体" w:hAnsi="宋体"/>
          <w:sz w:val="24"/>
        </w:rPr>
        <w:t>人提供的配合条件,所列配合条件</w:t>
      </w:r>
      <w:r>
        <w:rPr>
          <w:rFonts w:hint="eastAsia" w:ascii="宋体" w:hAnsi="宋体"/>
          <w:sz w:val="24"/>
          <w:lang w:val="en-US" w:eastAsia="zh-CN"/>
        </w:rPr>
        <w:t>采购</w:t>
      </w:r>
      <w:r>
        <w:rPr>
          <w:rFonts w:hint="eastAsia" w:ascii="宋体" w:hAnsi="宋体"/>
          <w:sz w:val="24"/>
        </w:rPr>
        <w:t>人将尽量配合解决,但不代表</w:t>
      </w:r>
      <w:r>
        <w:rPr>
          <w:rFonts w:hint="eastAsia" w:ascii="宋体" w:hAnsi="宋体"/>
          <w:sz w:val="24"/>
          <w:lang w:val="en-US" w:eastAsia="zh-CN"/>
        </w:rPr>
        <w:t>采购</w:t>
      </w:r>
      <w:r>
        <w:rPr>
          <w:rFonts w:hint="eastAsia" w:ascii="宋体" w:hAnsi="宋体"/>
          <w:sz w:val="24"/>
        </w:rPr>
        <w:t>人全部接受,</w:t>
      </w:r>
      <w:r>
        <w:rPr>
          <w:rFonts w:hint="eastAsia" w:ascii="宋体" w:hAnsi="宋体"/>
          <w:sz w:val="24"/>
          <w:lang w:val="en-US" w:eastAsia="zh-CN"/>
        </w:rPr>
        <w:t>采购</w:t>
      </w:r>
      <w:r>
        <w:rPr>
          <w:rFonts w:hint="eastAsia" w:ascii="宋体" w:hAnsi="宋体"/>
          <w:sz w:val="24"/>
        </w:rPr>
        <w:t>人有权全部或部分拒绝</w:t>
      </w:r>
      <w:r>
        <w:rPr>
          <w:rFonts w:hint="eastAsia" w:ascii="宋体" w:hAnsi="宋体"/>
          <w:sz w:val="24"/>
          <w:lang w:val="en-US" w:eastAsia="zh-CN"/>
        </w:rPr>
        <w:t>响应供应商</w:t>
      </w:r>
      <w:r>
        <w:rPr>
          <w:rFonts w:hint="eastAsia" w:ascii="宋体" w:hAnsi="宋体"/>
          <w:sz w:val="24"/>
        </w:rPr>
        <w:t>提出的配合条件。</w:t>
      </w:r>
    </w:p>
    <w:p w14:paraId="5D6B494D">
      <w:pPr>
        <w:pStyle w:val="6"/>
        <w:keepNext w:val="0"/>
        <w:keepLines w:val="0"/>
        <w:pageBreakBefore w:val="0"/>
        <w:kinsoku/>
        <w:wordWrap/>
        <w:overflowPunct/>
        <w:topLinePunct w:val="0"/>
        <w:bidi w:val="0"/>
        <w:snapToGrid/>
        <w:spacing w:line="360" w:lineRule="auto"/>
        <w:rPr>
          <w:rFonts w:hint="eastAsia" w:ascii="宋体" w:hAnsi="宋体"/>
          <w:sz w:val="24"/>
        </w:rPr>
      </w:pPr>
    </w:p>
    <w:p w14:paraId="3877AB81">
      <w:pPr>
        <w:pStyle w:val="7"/>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sz w:val="24"/>
          <w:lang w:val="en-US" w:eastAsia="zh-CN"/>
        </w:rPr>
      </w:pPr>
    </w:p>
    <w:p w14:paraId="442B659A">
      <w:pPr>
        <w:pStyle w:val="7"/>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sz w:val="24"/>
          <w:lang w:val="en-US" w:eastAsia="zh-CN"/>
        </w:rPr>
      </w:pPr>
    </w:p>
    <w:p w14:paraId="6425CB60">
      <w:pPr>
        <w:pStyle w:val="7"/>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sz w:val="24"/>
          <w:lang w:val="en-US" w:eastAsia="zh-CN"/>
        </w:rPr>
      </w:pPr>
    </w:p>
    <w:p w14:paraId="7E16945D">
      <w:pPr>
        <w:pStyle w:val="7"/>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sz w:val="24"/>
          <w:lang w:val="en-US" w:eastAsia="zh-CN"/>
        </w:rPr>
      </w:pPr>
    </w:p>
    <w:p w14:paraId="33091710">
      <w:pPr>
        <w:rPr>
          <w:rFonts w:hint="eastAsia" w:ascii="宋体" w:hAnsi="宋体"/>
          <w:sz w:val="24"/>
          <w:lang w:val="en-US" w:eastAsia="zh-CN"/>
        </w:rPr>
      </w:pPr>
      <w:r>
        <w:rPr>
          <w:rFonts w:hint="eastAsia" w:ascii="宋体" w:hAnsi="宋体"/>
          <w:sz w:val="24"/>
          <w:lang w:val="en-US" w:eastAsia="zh-CN"/>
        </w:rPr>
        <w:br w:type="page"/>
      </w:r>
    </w:p>
    <w:p w14:paraId="291A4854">
      <w:pPr>
        <w:pStyle w:val="7"/>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sz w:val="24"/>
          <w:lang w:val="en-US" w:eastAsia="zh-CN"/>
        </w:rPr>
      </w:pPr>
      <w:r>
        <w:rPr>
          <w:rFonts w:hint="eastAsia" w:ascii="宋体" w:hAnsi="宋体"/>
          <w:sz w:val="24"/>
          <w:lang w:val="en-US" w:eastAsia="zh-CN"/>
        </w:rPr>
        <w:t>附表一    电梯维修配件清单</w:t>
      </w:r>
    </w:p>
    <w:p w14:paraId="36A81C62">
      <w:pPr>
        <w:keepNext w:val="0"/>
        <w:keepLines w:val="0"/>
        <w:pageBreakBefore w:val="0"/>
        <w:kinsoku/>
        <w:wordWrap/>
        <w:overflowPunct/>
        <w:topLinePunct w:val="0"/>
        <w:bidi w:val="0"/>
        <w:snapToGrid/>
        <w:spacing w:line="360" w:lineRule="auto"/>
        <w:rPr>
          <w:rFonts w:hint="eastAsia"/>
          <w:sz w:val="24"/>
          <w:szCs w:val="24"/>
          <w:lang w:val="en-US" w:eastAsia="zh-CN"/>
        </w:rPr>
      </w:pPr>
      <w:r>
        <w:rPr>
          <w:rFonts w:hint="eastAsia"/>
          <w:sz w:val="24"/>
          <w:szCs w:val="24"/>
          <w:lang w:val="en-US" w:eastAsia="zh-CN"/>
        </w:rPr>
        <w:t>我院在用电梯品牌：西子奥的斯、日立、西奥</w:t>
      </w:r>
    </w:p>
    <w:tbl>
      <w:tblPr>
        <w:tblStyle w:val="21"/>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6"/>
        <w:gridCol w:w="3252"/>
        <w:gridCol w:w="2834"/>
        <w:gridCol w:w="1307"/>
      </w:tblGrid>
      <w:tr w14:paraId="64C27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DFB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48F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名称</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B9C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型号规格</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9FB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r>
      <w:tr w14:paraId="4D7F7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3EF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7486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日立按钮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73E3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DL-PO2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F29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A0D0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DFF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EEB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西子</w:t>
            </w:r>
            <w:r>
              <w:rPr>
                <w:rFonts w:hint="eastAsia" w:ascii="宋体" w:hAnsi="宋体" w:eastAsia="宋体" w:cs="宋体"/>
                <w:i w:val="0"/>
                <w:iCs w:val="0"/>
                <w:color w:val="000000"/>
                <w:kern w:val="0"/>
                <w:sz w:val="24"/>
                <w:szCs w:val="24"/>
                <w:u w:val="none"/>
                <w:lang w:val="en-US" w:eastAsia="zh-CN" w:bidi="ar"/>
              </w:rPr>
              <w:t>奥的斯按钮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D758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BS34</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EA1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21BBF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59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F984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警铃按钮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563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IP-DC24V-A</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C86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05934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7A6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A92F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89D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DL-POB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10F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1ABC1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CC7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DE8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西子</w:t>
            </w:r>
            <w:r>
              <w:rPr>
                <w:rFonts w:hint="eastAsia" w:ascii="宋体" w:hAnsi="宋体" w:eastAsia="宋体" w:cs="宋体"/>
                <w:i w:val="0"/>
                <w:iCs w:val="0"/>
                <w:color w:val="000000"/>
                <w:kern w:val="0"/>
                <w:sz w:val="24"/>
                <w:szCs w:val="24"/>
                <w:u w:val="none"/>
                <w:lang w:val="en-US" w:eastAsia="zh-CN" w:bidi="ar"/>
              </w:rPr>
              <w:t>奥的斯按钮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559D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BS-34A</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D06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67CCA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484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8D5F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DBAF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NL-PC</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E3C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3B0D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58E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F984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限位开关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D5FE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HD1370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971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75A0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2CF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58B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限位开关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37ED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LX-21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55F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C372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CF9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0760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限位开关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CC67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LX-22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4F2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2557D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D58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AA0B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限速器开关(涨紧轮)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9A4F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D52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72F84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A38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150A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超载开关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2D60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Z-15GQ-B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586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35B51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0DA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5060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限位开关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7A03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LX-21B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1B4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845C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A1F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ADC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缓冲器开关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2C62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D4N-4A72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647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156F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C06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195B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缓冲器开关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09FD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D4NA-4132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F26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8F73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26C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5D90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涨紧轮开关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8D92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SND4111SPC-R</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878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4935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464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212B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电梯开关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6F46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UKS/UKT</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91F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79AB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69D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EFF4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急停开关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DBF0D">
            <w:pPr>
              <w:jc w:val="left"/>
              <w:rPr>
                <w:rFonts w:hint="eastAsia" w:ascii="宋体" w:hAnsi="宋体" w:eastAsia="宋体" w:cs="宋体"/>
                <w:i w:val="0"/>
                <w:iCs w:val="0"/>
                <w:color w:val="000000"/>
                <w:sz w:val="24"/>
                <w:szCs w:val="24"/>
                <w:u w:val="none"/>
                <w:lang w:eastAsia="zh-CN"/>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F21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8786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AF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491F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安全触板开关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FAFA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Z-15GW2-B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69D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5E8D7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FFF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A76B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抱闸开关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7B41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RZ-15GD-B3(兰鸟)</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929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01764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2AE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706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插积开关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8AEC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FKD</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B36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00B9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B32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DEED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日立轿门电气开关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9A3BE">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GRDQ</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A9B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3D9B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F71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5216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轿顶检修开关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BFC0D">
            <w:pPr>
              <w:jc w:val="left"/>
              <w:rPr>
                <w:rFonts w:hint="eastAsia" w:ascii="宋体" w:hAnsi="宋体" w:eastAsia="宋体" w:cs="宋体"/>
                <w:i w:val="0"/>
                <w:iCs w:val="0"/>
                <w:color w:val="000000"/>
                <w:sz w:val="24"/>
                <w:szCs w:val="24"/>
                <w:u w:val="none"/>
                <w:lang w:eastAsia="zh-CN"/>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7ED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1523A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A53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8B4B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检修按钮开关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F04F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1A</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17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840F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A30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AD87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辅助开关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0AA8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SZ-AS1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2D3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E96D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CA7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0FC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日立琴键开关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280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BLN62（小）</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55A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9659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335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9345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轿顶检修盒</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686E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五孔检修</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2A9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49AF9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401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1742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微动开关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9FC0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RZ-15GD55-B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24B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7A4A3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330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D51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消防开关盒</w:t>
            </w:r>
          </w:p>
        </w:tc>
        <w:tc>
          <w:tcPr>
            <w:tcW w:w="2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D6EE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日立型</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04B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730B2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FC2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8C24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副门锁</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CBA8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TKB-1A</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778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4A435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33F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C62F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基站锁</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46B2A">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B9A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63693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18B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6043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日立动触头</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725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DK-RSL</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3C1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2D5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8A9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AB0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触点</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49435">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D22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4E6B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444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7122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LED横流控制装置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8C7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ERB-05M700-5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3E2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7B184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551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FE34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LED横流控制装置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0B81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ERB-35N1500-5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FBA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49B26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492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1F7A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二合一蜂鸣器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EAC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FMQ-2-1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7BF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85F0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C13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37DA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六角高音蜂鸣器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0F7B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265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C797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D84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E173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日立电子蜂鸣器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073D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905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4F28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D59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78BD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整流硅</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342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C93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8AFA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B68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1639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滤波器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1F29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FN2010-10-06 110/250VAC</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D1A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330C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3B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F3BA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日立导向装置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B51EA">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980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DFE7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4A7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7B4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安全钳楔块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76278">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9FD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D34A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2C7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372D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限速器轮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72AD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6SS</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180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04F88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6DA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103D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LED井道灯</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8FEF7">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0C0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E913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3C4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F5DC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主机油盖</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80DF">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85C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EEB7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60A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8732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抱闸顶杆</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B91E">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317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06BA1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E4E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2DC0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继电器板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B4FC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12502753</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3B5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33AA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47B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C88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继电器板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4605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RYBD 带微动平层</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E39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76EC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8DD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694E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A1FB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MUCB03</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BBA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7E071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0E8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28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门机板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EE4D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DAB-C</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6D9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9258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ED8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3038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门机板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A4DE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DAB-D</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34A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6F166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468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EB07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门机板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4B9C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SF2-DSC-1000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2AA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65CC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AAA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7A7D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电源板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AC27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AVR电源</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75C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77B7E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CB4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3E84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终端电源板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46BF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VC07L</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694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732A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05A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DC31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串行通信板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0EF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NPH-2-SCLB（大B）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FA9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5804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922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8C25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串行通信板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DE43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SCLA3</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DEC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5E75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C2E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C74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串行通信板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F484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SCLA4</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A0A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43ED1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7EB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AC3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串行通信板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073A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SCLB3 V4.0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52D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76874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6C3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E7F5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通信板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E23C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SCLB-V1.1（小B）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411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0BC4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0BE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ADED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通信板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6F68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SCLE</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B0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E09C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F60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A063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对讲板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DC6F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DIS1000D-2A</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112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038BB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ABB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EEC1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对讲板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3F76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DIS1000D-5E</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BE5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7CDDF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366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01FF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对讲板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4495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DIS2000D</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4B7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79A40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FC5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520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方形显示板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448B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单显示</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16C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C914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BE3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D851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方形显示板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426B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双显示</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ECB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7CEA7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78E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7EB1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串行通讯板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F6CE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SCLB3 V40-1.1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307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7F3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202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33CA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终端板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A68B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四代</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622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179E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54A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9471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OTIS显示板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C5178">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B51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0535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C60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130D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横眉显示板带救援</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F486A">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4E3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4BEE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069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CE09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分频板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5717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SDP-02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9F6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7379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EE1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9E51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外召显示板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C96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SCLC5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E7A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C198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374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956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门锁轮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58C6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DK-RSL</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06B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CAD5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105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A69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日立皮带轮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1E76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老款无尾</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7FB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6BC06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D48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2536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日立皮带轮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F142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新款</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785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28376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074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35E9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梯级轮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6FF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6204-2RS</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2ED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A135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487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5D63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涨紧轮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A635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6厘</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C77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9EF6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DCE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EF4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导向轮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F838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408*90-5-10-309</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AFF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6893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A3E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FC73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B754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408*90-5-10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463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B2E4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03A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428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日立导向轮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C21E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408*90-5*10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A43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B11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CD0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868F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3D4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408*84-5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2F7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AD6C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B74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F878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721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408*84-6*10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5F7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BC26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4B6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1896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限位轮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52CC6">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134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AE36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D2E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1031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旋编码器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EA52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TS5246N478</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55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5B137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BFD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8149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编码器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AB3D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TS5233N572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B8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7EE0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15F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483D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旋编码器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7ED8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TS6026N151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68E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5C606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6E2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C90E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编码器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DC2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TS5213N2542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508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7CE0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974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8B97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门机旋编</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CA78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HES0512-2MHC</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38A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AE2C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6BC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C446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缓冲器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206E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100*120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74E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0522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617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C5F1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缓冲器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E75F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100*80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2BF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8794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827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C4C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聚氨脂缓冲器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A9F2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130*160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739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AC1D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C49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6AF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缓冲器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5B74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160*200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751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8162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ED0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C81D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缓冲器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DBAC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125*200-130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763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F482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264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0B3B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油压缓冲器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6D3BB">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C5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CFBA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932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EFE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感应器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BEE2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GLS-326</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34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0CD2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61F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54C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感应器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C35B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GLS-126</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B8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5F01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083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9B6D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OTIS感应器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76CC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GLS-126NT2 NC</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F6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EE34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813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F4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感应器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F32F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YG-3 48V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DF4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7C3C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4E3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EE27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扶梯感应器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AD0C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NBN40-L2-E2-V1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D0C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2B2EE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599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098F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涡轮传感器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FFD0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E73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B9AF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AC3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C6B7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继电器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AD18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MY4N-GS AC200/220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583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F080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196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141E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继电器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2F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MY4N-GS DC100/110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F3B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7ADD5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317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D04C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继电器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3B3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MY4N-GS DC48</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0AC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63E12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F7B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A1A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继电器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0270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MY4N-GS-24V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80B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6B5FA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A77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301E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无相序继电器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1DC0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WJD</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A37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3B52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EF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2DC8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欧姆龙相序继电器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C4FB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K8DS-PH1-001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F27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E378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962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C632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三相交流继电器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B19F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XJ-12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225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BCEA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75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FD13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国标</w:t>
            </w:r>
            <w:r>
              <w:rPr>
                <w:rFonts w:hint="eastAsia" w:ascii="宋体" w:hAnsi="宋体" w:eastAsia="宋体" w:cs="宋体"/>
                <w:i w:val="0"/>
                <w:iCs w:val="0"/>
                <w:color w:val="000000"/>
                <w:kern w:val="0"/>
                <w:sz w:val="24"/>
                <w:szCs w:val="24"/>
                <w:u w:val="none"/>
                <w:lang w:val="en-US" w:eastAsia="zh-CN" w:bidi="ar"/>
              </w:rPr>
              <w:t>继电器（扶梯热继电器）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DFDE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NDRI-38M25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65A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0135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72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2D43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继电器底座</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30BD9">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C60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24E6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25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7750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继电器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3202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MY4N-GS-12V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FCA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6607A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CFD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9F76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0E15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SC-5-1/G</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AE3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0A78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323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5355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B6E6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SC-N1/G    DC48V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842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6B0D6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313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0390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EC31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SC-N4 220V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E52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D3F8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4BF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3AE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88D2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SC-N4/SE DC48</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33A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D1E9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04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0A6F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1454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SC-4-1/G</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6D1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4C897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FC4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8D65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2A41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SC-E1P</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04A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4A816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420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CDC9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88F2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SC-E2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24D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08DD8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4AE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A49D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BD59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SC-E2P</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8FD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76760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684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C851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A48D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SC-E02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09B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12471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C14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1B50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C20A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SC-N2S/G</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9E3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65456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CE3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444A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5069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FC-0/G</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75B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5BD6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A59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D931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辅助触头</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C11F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SZ-AS1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756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8526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3B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551B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辅助触头</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D7D2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SZ-AS2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820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72D4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1C8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9E2D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辅助触头</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3F3E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SZ-A22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3B6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E89B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189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8511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辅助触头</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6245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DN22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C91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5A2C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10C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50A4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11FD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SC-03</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B1C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31DE9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696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F86B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接触器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6D99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SC-N3/G</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F58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7132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24E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3966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自闭弹簧</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79D7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560*400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6E8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43930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236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0A9D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客梯弹簧</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45A1F">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93B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56B4D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386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6E71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副门锁</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6CC5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TKB-1B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FEE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7EF75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851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A443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门锁</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DBA9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DK-RSL</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8C9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5F02A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391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1CE1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GFQ门锁</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5E11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905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5319E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E21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C38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日立操纵箱锁</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A56D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FCE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1DC87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49C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E335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日立操纵箱锁</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EBD4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E2D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62F0A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38C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A9E9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日立三角锁胆</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F2B7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E48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21228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4C6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465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厅门挂板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14AD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800平槽</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0DB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EF52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E02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9264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厅门挂板新款</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6802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6302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81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DF50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F85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674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轿门挂板老款</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7279B">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837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3899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75F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E5B7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轿门挂板新款</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7D4B3">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A6C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413D6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0A1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D19B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靴衬</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0DEE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13K</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93C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100C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31A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0B1F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靴衬</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ED13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18K 220*17(长22CM)</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508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245E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7CC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59AD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日立空心导靴</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04E61">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A4F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393C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DF5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C13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门机皮带</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2E60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A-124</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E85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56F24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37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DE7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日立门机皮带</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635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0CE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2BA82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C8C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10D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日立门机皮带</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6682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5M-1060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53F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6B675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51C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D4F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国标</w:t>
            </w:r>
            <w:r>
              <w:rPr>
                <w:rFonts w:hint="eastAsia" w:ascii="宋体" w:hAnsi="宋体" w:eastAsia="宋体" w:cs="宋体"/>
                <w:i w:val="0"/>
                <w:iCs w:val="0"/>
                <w:color w:val="000000"/>
                <w:kern w:val="0"/>
                <w:sz w:val="24"/>
                <w:szCs w:val="24"/>
                <w:u w:val="none"/>
                <w:lang w:val="en-US" w:eastAsia="zh-CN" w:bidi="ar"/>
              </w:rPr>
              <w:t>门机皮带</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0130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3V425 1080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E5D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67A93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B5E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414C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国标</w:t>
            </w:r>
            <w:r>
              <w:rPr>
                <w:rFonts w:hint="eastAsia" w:ascii="宋体" w:hAnsi="宋体" w:eastAsia="宋体" w:cs="宋体"/>
                <w:i w:val="0"/>
                <w:iCs w:val="0"/>
                <w:color w:val="000000"/>
                <w:kern w:val="0"/>
                <w:sz w:val="24"/>
                <w:szCs w:val="24"/>
                <w:u w:val="none"/>
                <w:lang w:val="en-US" w:eastAsia="zh-CN" w:bidi="ar"/>
              </w:rPr>
              <w:t>门机皮带</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AFA1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3V450 1140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1C9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077AA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19F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EB1A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皮带</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07F3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6PK975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896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72F59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30C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2BE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皮带</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7BBD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A-128</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A71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0A7F4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62F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5EF8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日立皮带</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EE4A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A-140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559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3DA5E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6C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0C66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皮带</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36BF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A-144</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EE3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4ABED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CC3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22BD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T型滑块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DE50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105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EE16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F78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702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日立滑块全塑</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28A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全塑</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2A2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67F1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988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F4E8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滑块（小）</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0D28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带铁PT</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BFE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F299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CF7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1449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消防镜片</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76F60">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DE6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8D1E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4A3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BD8E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变频器风扇</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B6F2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120*120 AC110V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8BB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7390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1D1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6F0D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变频器风扇</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74AE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120*120 AV220V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71E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81D1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24A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CD5C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变频器风扇</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1C4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120*120 24V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EC4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4809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E76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BE30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变频器风扇</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95E3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80*80 AC110V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463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CAD3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BB9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7584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变频器风扇</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598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80*80 DC24V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CDA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DF81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875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6C7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变频器风扇</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E219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90*90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123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BC0B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316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73EE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风扇</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91D2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FB-1042B-J</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DAB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1BA8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BD7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8C70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横流风扇</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4519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HY-C9737822-C/调速</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8C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D3A9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D3F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44D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日滨光幕</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F309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01款</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76F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4D482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28F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5701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微科光幕</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4605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917A6-1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BE4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02C46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753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164</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CF5E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微科光幕</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980C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WECO-957Z71-DC24B</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52F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7B475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E3F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FC79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日滨光幕</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62AA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GMP02A-E</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237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585AE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82E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EF8D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EFG控制电源</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DB30F">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BAA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B665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AF8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86F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LED电源开关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A904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EFG</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36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9C64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9F1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5C54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日立应急电源</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E387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603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290E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743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60B3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应急电源</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F66C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8F1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091B4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9B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E5C5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日立应急电源</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D8E7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DY-DJ524A</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C07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5776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E27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D667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开关电源</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755C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LRS-100-24</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63F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46161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732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F61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开关电源</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E765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LRS-150-24</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CAC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2CBBE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208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2E25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开关电源</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ABEF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LRS-100-12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0E1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1B46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619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C74E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开关电源</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7500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LRS-150-12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082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1512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F4D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6759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对讲主机</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F4CD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HY-WDJ-D</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8BA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6D83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8D9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D289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单局主机</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91E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NKT12(1-1)A</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A55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1B4E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215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BC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五方通话对讲主机</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26E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DIS2000M</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8B6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4140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81D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63E5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五方通话主机</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ABDC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DIS1000M</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8D5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AA01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21D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5828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轿顶对讲机分机</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CD5F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HY-WDJ-A V20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579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447BD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A2F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DA3D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底坑子机</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A31F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HY-WDJ-B V20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088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42477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8A3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3089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轿厢对讲分机</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6E70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HY-WDJ-C</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B3D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70277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D03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080F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内置副机</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DF93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NKT12(1-1)B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27D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77EE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EFE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2839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小方油杯</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87A29">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1B0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CF27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276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AD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大方油杯</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94336">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C49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4E70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980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4754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油杯棉芯</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1EBF2">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D66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C24C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AEE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93B2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底坑检修箱</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41AED">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73B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6DC25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4A7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4065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配电箱</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BD82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220V</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79F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B8D7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C5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211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扶梯刹车碟</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15114">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10A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D523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5CF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494F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日立轿门防震胶粒</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4CFE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C89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7823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E7F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0176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副门锁支架</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D81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TKB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47D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6028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B3A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7573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隔磁板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82FD9">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03D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7415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978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11DB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相序保护器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3D35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XJ3-G</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F24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769C8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88C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1909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钢丝绳制动器控制仪</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AC91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HH106C HAA1005X2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8AD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6F8BF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842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2281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夹绳器控制装置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F7BF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JSQ-12-C</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B17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4A819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915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B9E8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轿顶检修盒</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53453">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409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16EE9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696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E922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日立门刀</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4DE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C0045591-A</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96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29F19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16E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EE8B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安全使用须知</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5AEF5">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3B9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660B0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FC6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198</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4CCB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变频门机</w:t>
            </w:r>
          </w:p>
        </w:tc>
        <w:tc>
          <w:tcPr>
            <w:tcW w:w="2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6BE2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YSMB137124</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546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7BF9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20D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58E9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永磁同步门电机</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0218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SF2-DSC-1000M</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19B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295F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186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618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门电机</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4441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YDJ-150</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E6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11C7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422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AAB8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96A9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27C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7208C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5DD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D6CA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2A47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3*.0.75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919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188E9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B40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717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4929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4*0.75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B03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14346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11C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2563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CA89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60芯</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B6B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21BFE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1FE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A11C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12芯插积头</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61958">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356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04DF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214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0B5C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变频器插件</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17340">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7DC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0623C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0AD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E1FF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门头钢丝绳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4E7E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OTIS</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787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6FA64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4B7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B75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导轨油</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02ADF">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54F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升</w:t>
            </w:r>
          </w:p>
        </w:tc>
      </w:tr>
      <w:tr w14:paraId="345BC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CF4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C288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扶梯油</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19E4E">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59D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升</w:t>
            </w:r>
          </w:p>
        </w:tc>
      </w:tr>
      <w:tr w14:paraId="0A40C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A11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F3D0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蜗轮蜗杆油</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61B1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18L</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795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桶</w:t>
            </w:r>
          </w:p>
        </w:tc>
      </w:tr>
      <w:tr w14:paraId="102A8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3AE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2355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维修对重反绳轮轴承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4C7A4">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5F9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4AD9D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67D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8C1A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油封</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7C9B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AC4982-EO</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FE4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64470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C12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DA3B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导向装置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7C703">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8A8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624B7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6A8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C2F6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胡蝶链</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F6C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10A</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C52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6CA89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FFC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8D57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胡蝶链</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D202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12A-1</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80C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70605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201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FD0C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回转链</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196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SWE 17节</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6DF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76320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62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C434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梯级边条</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CED55">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185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6C9A0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301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AF05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梳齿板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E5C9B">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542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AF55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565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FFCA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荧光梯级边条</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F8BB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22505555-B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2EE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2BEF1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77F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F84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日立驱动总成</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5A0B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158</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4AC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5FB9D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ACD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C893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17齿莹光梳齿板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8224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673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3E5D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8C7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EA8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17齿莹光梳齿板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611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左</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AB3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8CAF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599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EAA4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17齿莹光梳齿板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6C77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右</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94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04C95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AFF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9667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17齿梳齿板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489A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左</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783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1778A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0A7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2CDF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17齿梳齿板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5136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D2A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61C6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283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865C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19齿梳齿板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55D15">
            <w:pPr>
              <w:jc w:val="left"/>
              <w:rPr>
                <w:rFonts w:hint="eastAsia" w:ascii="宋体" w:hAnsi="宋体" w:eastAsia="宋体" w:cs="宋体"/>
                <w:i w:val="0"/>
                <w:iCs w:val="0"/>
                <w:color w:val="000000"/>
                <w:sz w:val="24"/>
                <w:szCs w:val="24"/>
                <w:u w:val="none"/>
                <w:lang w:eastAsia="zh-CN"/>
              </w:rPr>
            </w:pPr>
            <w:r>
              <w:rPr>
                <w:rFonts w:hint="eastAsia" w:ascii="宋体" w:hAnsi="宋体" w:cs="宋体"/>
                <w:i w:val="0"/>
                <w:iCs w:val="0"/>
                <w:color w:val="000000"/>
                <w:sz w:val="24"/>
                <w:szCs w:val="24"/>
                <w:u w:val="none"/>
                <w:lang w:eastAsia="zh-CN"/>
              </w:rPr>
              <w:t>中</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D92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31D62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6DB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CB0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对重块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06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1040*150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53D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78654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236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712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对重块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D240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680*150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67B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6A3E0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CAD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79E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对重块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7318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950*145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B06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4E8C8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C99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140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对重块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74DD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510*150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942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4C1C0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8E9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D0CC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对重块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BAE1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970*150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AFA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0BC4F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762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9DF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对重块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7123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780*150*40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724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4E404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F72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4D83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对重块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B9F4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500*210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E7B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3B58C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1D2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F0C5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灯泡36V</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925A6">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789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0574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3C5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ED98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灯泡</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56E2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740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0023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9C3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81AB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应急灯泡</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9BCCE">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19F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2551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886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1451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灯泡</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3A89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0F2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粒</w:t>
            </w:r>
          </w:p>
        </w:tc>
      </w:tr>
      <w:tr w14:paraId="7C7B8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EB5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D79F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手提行灯</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DE28F">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CE5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2A0AA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534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3A6A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日立井道灯</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670C7">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0C1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E91A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A2E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DD2D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LED环形光管</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AE0D5">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100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2CB0F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E03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74F8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日立灯罩</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879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610*610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FBD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68792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660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E537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滤波器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DAC8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FN2010-10-06 110/250VAC</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ED1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688C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540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295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终端电池</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61E42">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649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7CECD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C81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A4D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蓄电池</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D5C7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12V4.5AH</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FFC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36ABD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71F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EEA5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蓄电池</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57DE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12V 12A</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4EB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C55F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239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C30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蓄电池</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183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12V7AH</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66D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77D69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E87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DF86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蓄电池</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F4BD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12V2.2AH</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B26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137CE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AFA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D9C1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日立门刀</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22CE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C0045591-B</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2F8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01974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1E6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B00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钢丝绳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71E1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6厘钢丝绳</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32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22C99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E50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7E69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安装工时费</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5EC4F">
            <w:pPr>
              <w:jc w:val="left"/>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2A9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40D84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A76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075F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钢丝绳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A33A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8厘钢丝绳</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A63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03BBE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66D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A9B0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钢丝绳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EAF2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10厘钢丝绳</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B27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02745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45C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ED18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钢丝绳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1430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12厘钢丝绳</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3C8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6EFA2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05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7B60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钢丝绳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E53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13厘钢丝绳</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68F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0327F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26F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E511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钢丝绳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150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16厘钢丝绳</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2C1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11E7F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8F8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9B8F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安装工时费</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C978F">
            <w:pPr>
              <w:jc w:val="left"/>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E44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0FBBA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109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272B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门头钢丝绳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C154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E53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1B88C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752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88C5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钢丝绳</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5FE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3厘钢丝绳</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611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6704C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54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18A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维修变频器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6E37C">
            <w:pPr>
              <w:jc w:val="left"/>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A16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4AE1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2EF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7164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OTIS门挂轮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CAD31">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C42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E241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5CE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CE9B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OTIS变频器PG卡</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9106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TL-EXP-E</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7FC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58F33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3FF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DCF6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OTIS速度板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4D8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AMCB2</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00A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392AD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146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92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横流风扇</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598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FD352A</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F32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81F7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8F9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F171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摩擦轮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C34A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奥的斯</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CE0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80F8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278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AC9D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扶手带</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8E52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奥的斯800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3D4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4ABDD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71B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6321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龙头导轨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070B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奥的斯</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3B3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r>
      <w:tr w14:paraId="7310C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5C2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C519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扶梯导轨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46C7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奥的斯506</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895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53EC9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EEC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8C6E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耐磨条</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E90C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2米</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6EA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27FD5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175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8DAB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67D8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30KW</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0C0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A88B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FB0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0F0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3A65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15KW</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58F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2F69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BE9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994A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扶梯玻璃</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624A">
            <w:pP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B60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77921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D85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20F5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丛动轮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B342B">
            <w:pP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1B1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A9A1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E9E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5830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绳头弹簧</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38094">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68C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5448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F25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B91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维修控制主板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B0047">
            <w:pP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8F0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4F4D7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5E1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5273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西子</w:t>
            </w:r>
            <w:r>
              <w:rPr>
                <w:rFonts w:hint="eastAsia" w:ascii="宋体" w:hAnsi="宋体" w:eastAsia="宋体" w:cs="宋体"/>
                <w:i w:val="0"/>
                <w:iCs w:val="0"/>
                <w:color w:val="000000"/>
                <w:kern w:val="0"/>
                <w:sz w:val="24"/>
                <w:szCs w:val="24"/>
                <w:u w:val="none"/>
                <w:lang w:val="en-US" w:eastAsia="zh-CN" w:bidi="ar"/>
              </w:rPr>
              <w:t>奥的斯边条</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4BD35">
            <w:pP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43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55FA2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00C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4567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主机编码器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8CC1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ERN1387</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4B9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9F1E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334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DCA1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主机连轴器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A9082">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6BA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4FF9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27B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9EFF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主机刹车皮</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5F13D">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0E3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69842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CAF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B19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扶梯梯级</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FA1E0">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CAD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34A1D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054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AEA6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地坎</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A472A">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7B7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0167A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C2C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21C1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补偿链</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70B83">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15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r>
      <w:tr w14:paraId="05662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9F3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313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层门门扇</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A37B3">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905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扇</w:t>
            </w:r>
          </w:p>
        </w:tc>
      </w:tr>
      <w:tr w14:paraId="3C33F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7F7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283</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D37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层门门头</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9280F">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493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63E6D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6F4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284</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B56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扶梯梯级驱动链</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BBA6E">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68F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6280F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A09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285</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627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扶梯控制主板</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38EFF">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304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44A3D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E88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286</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AF2E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扶手带驱动链</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6937C">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602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1E61E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EB3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287</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4F15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扶梯主机制动器</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8118">
            <w:pPr>
              <w:jc w:val="left"/>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国标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9A1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2CB46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8DC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288</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B38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模块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C99D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PM300RSD060</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1FF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D4C0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817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289</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B42A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模块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7F6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7MBP75RA  120-16</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9B0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893B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EA5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290</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158B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模块</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429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7MNP75RA120-5</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DE7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2FFD4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BD4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291</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5C7E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负荷测试125%</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028B6">
            <w:pP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078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38CC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22D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292</w:t>
            </w:r>
          </w:p>
        </w:tc>
        <w:tc>
          <w:tcPr>
            <w:tcW w:w="3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7B9E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限速器-安全钳联动试验</w:t>
            </w:r>
          </w:p>
        </w:tc>
        <w:tc>
          <w:tcPr>
            <w:tcW w:w="2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1AD67">
            <w:pP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2B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bl>
    <w:p w14:paraId="77BBE8F1">
      <w:pPr>
        <w:pStyle w:val="6"/>
        <w:rPr>
          <w:rFonts w:hint="default"/>
          <w:lang w:val="en-US" w:eastAsia="zh-CN"/>
        </w:rPr>
      </w:pPr>
    </w:p>
    <w:p w14:paraId="21B1978C">
      <w:pPr>
        <w:keepNext w:val="0"/>
        <w:keepLines w:val="0"/>
        <w:pageBreakBefore w:val="0"/>
        <w:tabs>
          <w:tab w:val="left" w:pos="616"/>
        </w:tabs>
        <w:kinsoku/>
        <w:wordWrap/>
        <w:overflowPunct/>
        <w:topLinePunct w:val="0"/>
        <w:bidi w:val="0"/>
        <w:snapToGrid/>
        <w:spacing w:beforeLines="20" w:line="360" w:lineRule="auto"/>
        <w:rPr>
          <w:rFonts w:ascii="宋体" w:hAnsi="宋体"/>
          <w:sz w:val="24"/>
        </w:rPr>
      </w:pPr>
    </w:p>
    <w:sectPr>
      <w:footerReference r:id="rId3" w:type="default"/>
      <w:footerReference r:id="rId4" w:type="even"/>
      <w:pgSz w:w="11906" w:h="16838"/>
      <w:pgMar w:top="1440" w:right="1800" w:bottom="1440" w:left="1800" w:header="851"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8103"/>
      <w:docPartObj>
        <w:docPartGallery w:val="autotext"/>
      </w:docPartObj>
    </w:sdtPr>
    <w:sdtContent>
      <w:p w14:paraId="590AC141">
        <w:pPr>
          <w:pStyle w:val="13"/>
        </w:pPr>
        <w:r>
          <w:rPr>
            <w:rFonts w:hint="eastAsia"/>
            <w:sz w:val="24"/>
            <w:szCs w:val="24"/>
          </w:rPr>
          <w:t xml:space="preserve">参数制定人：                                </w:t>
        </w:r>
        <w:r>
          <w:rPr>
            <w:rFonts w:hint="eastAsia"/>
            <w:sz w:val="24"/>
            <w:szCs w:val="24"/>
            <w:lang w:val="en-US" w:eastAsia="zh-CN"/>
          </w:rPr>
          <w:t xml:space="preserve">    </w:t>
        </w:r>
        <w:r>
          <w:rPr>
            <w:rFonts w:hint="eastAsia"/>
            <w:sz w:val="24"/>
            <w:szCs w:val="24"/>
          </w:rPr>
          <w:t>科室审核人：</w:t>
        </w:r>
      </w:p>
      <w:p w14:paraId="6E350780">
        <w:pPr>
          <w:pStyle w:val="13"/>
          <w:jc w:val="right"/>
        </w:pPr>
      </w:p>
    </w:sdtContent>
  </w:sdt>
  <w:p w14:paraId="722E7CBE">
    <w:pPr>
      <w:pStyle w:val="13"/>
      <w:ind w:left="49" w:hanging="48" w:hangingChars="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65D96">
    <w:pPr>
      <w:pStyle w:val="13"/>
      <w:framePr w:wrap="around" w:vAnchor="text" w:hAnchor="margin" w:xAlign="center" w:y="1"/>
      <w:rPr>
        <w:rStyle w:val="25"/>
      </w:rPr>
    </w:pPr>
    <w:r>
      <w:rPr>
        <w:rStyle w:val="25"/>
      </w:rPr>
      <w:fldChar w:fldCharType="begin"/>
    </w:r>
    <w:r>
      <w:rPr>
        <w:rStyle w:val="25"/>
      </w:rPr>
      <w:instrText xml:space="preserve">PAGE  </w:instrText>
    </w:r>
    <w:r>
      <w:rPr>
        <w:rStyle w:val="25"/>
      </w:rPr>
      <w:fldChar w:fldCharType="end"/>
    </w:r>
  </w:p>
  <w:p w14:paraId="4C834AEA">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4E2E6A"/>
    <w:multiLevelType w:val="multilevel"/>
    <w:tmpl w:val="7B4E2E6A"/>
    <w:lvl w:ilvl="0" w:tentative="0">
      <w:start w:val="4"/>
      <w:numFmt w:val="decimal"/>
      <w:lvlText w:val="%1."/>
      <w:lvlJc w:val="left"/>
      <w:pPr>
        <w:tabs>
          <w:tab w:val="left" w:pos="425"/>
        </w:tabs>
        <w:ind w:left="425" w:hanging="425"/>
      </w:pPr>
      <w:rPr>
        <w:rFonts w:hint="eastAsia"/>
      </w:rPr>
    </w:lvl>
    <w:lvl w:ilvl="1" w:tentative="0">
      <w:start w:val="1"/>
      <w:numFmt w:val="decimal"/>
      <w:pStyle w:val="20"/>
      <w:lvlText w:val="%1.%2."/>
      <w:lvlJc w:val="left"/>
      <w:pPr>
        <w:tabs>
          <w:tab w:val="left" w:pos="1800"/>
        </w:tabs>
        <w:ind w:left="0" w:firstLine="0"/>
      </w:pPr>
      <w:rPr>
        <w:rFonts w:hint="eastAsia"/>
      </w:rPr>
    </w:lvl>
    <w:lvl w:ilvl="2" w:tentative="0">
      <w:start w:val="1"/>
      <w:numFmt w:val="decimal"/>
      <w:isLgl/>
      <w:lvlText w:val="%1.%2.%3."/>
      <w:lvlJc w:val="left"/>
      <w:pPr>
        <w:tabs>
          <w:tab w:val="left" w:pos="720"/>
        </w:tabs>
        <w:ind w:left="0" w:firstLine="0"/>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33F"/>
    <w:rsid w:val="00000196"/>
    <w:rsid w:val="000019F5"/>
    <w:rsid w:val="00002CCA"/>
    <w:rsid w:val="000036B2"/>
    <w:rsid w:val="00005B7D"/>
    <w:rsid w:val="0000675B"/>
    <w:rsid w:val="00007BF6"/>
    <w:rsid w:val="00010DDE"/>
    <w:rsid w:val="00012611"/>
    <w:rsid w:val="000129A2"/>
    <w:rsid w:val="000150BF"/>
    <w:rsid w:val="00016206"/>
    <w:rsid w:val="00016E8B"/>
    <w:rsid w:val="000206E3"/>
    <w:rsid w:val="00020E01"/>
    <w:rsid w:val="00021C4A"/>
    <w:rsid w:val="0002268F"/>
    <w:rsid w:val="0002368D"/>
    <w:rsid w:val="00023E66"/>
    <w:rsid w:val="00024A23"/>
    <w:rsid w:val="0002716B"/>
    <w:rsid w:val="00027EE2"/>
    <w:rsid w:val="0003062A"/>
    <w:rsid w:val="00032A31"/>
    <w:rsid w:val="00034893"/>
    <w:rsid w:val="000348DC"/>
    <w:rsid w:val="00035A33"/>
    <w:rsid w:val="00036791"/>
    <w:rsid w:val="00037214"/>
    <w:rsid w:val="00041DAE"/>
    <w:rsid w:val="00041F4F"/>
    <w:rsid w:val="00043603"/>
    <w:rsid w:val="00043DDA"/>
    <w:rsid w:val="00045515"/>
    <w:rsid w:val="00050757"/>
    <w:rsid w:val="000509BD"/>
    <w:rsid w:val="00050FE8"/>
    <w:rsid w:val="00056544"/>
    <w:rsid w:val="000601BF"/>
    <w:rsid w:val="00060D06"/>
    <w:rsid w:val="000622DD"/>
    <w:rsid w:val="000708BA"/>
    <w:rsid w:val="00071101"/>
    <w:rsid w:val="0007157B"/>
    <w:rsid w:val="00071DD7"/>
    <w:rsid w:val="00072F60"/>
    <w:rsid w:val="0007423C"/>
    <w:rsid w:val="00074C0C"/>
    <w:rsid w:val="00075FFC"/>
    <w:rsid w:val="00081BB8"/>
    <w:rsid w:val="0008283B"/>
    <w:rsid w:val="00083A51"/>
    <w:rsid w:val="000853AF"/>
    <w:rsid w:val="000865DA"/>
    <w:rsid w:val="000876CB"/>
    <w:rsid w:val="00087F31"/>
    <w:rsid w:val="0009092A"/>
    <w:rsid w:val="0009384C"/>
    <w:rsid w:val="000A0396"/>
    <w:rsid w:val="000A1969"/>
    <w:rsid w:val="000A4F2C"/>
    <w:rsid w:val="000A4FA2"/>
    <w:rsid w:val="000A4FC4"/>
    <w:rsid w:val="000A75B7"/>
    <w:rsid w:val="000A76BB"/>
    <w:rsid w:val="000B1294"/>
    <w:rsid w:val="000B2CB2"/>
    <w:rsid w:val="000B2DEE"/>
    <w:rsid w:val="000B3DF2"/>
    <w:rsid w:val="000B6E6A"/>
    <w:rsid w:val="000C0E67"/>
    <w:rsid w:val="000C2322"/>
    <w:rsid w:val="000C2BA5"/>
    <w:rsid w:val="000C5064"/>
    <w:rsid w:val="000C50B5"/>
    <w:rsid w:val="000C7076"/>
    <w:rsid w:val="000C7BB6"/>
    <w:rsid w:val="000D0D6F"/>
    <w:rsid w:val="000D1D1D"/>
    <w:rsid w:val="000D1F19"/>
    <w:rsid w:val="000D3D4E"/>
    <w:rsid w:val="000D4F47"/>
    <w:rsid w:val="000D7168"/>
    <w:rsid w:val="000D7D90"/>
    <w:rsid w:val="000E0FF6"/>
    <w:rsid w:val="000E1737"/>
    <w:rsid w:val="000E659C"/>
    <w:rsid w:val="000E6DFD"/>
    <w:rsid w:val="000F2AEE"/>
    <w:rsid w:val="000F31DB"/>
    <w:rsid w:val="000F34C5"/>
    <w:rsid w:val="000F388C"/>
    <w:rsid w:val="000F3A6F"/>
    <w:rsid w:val="000F473C"/>
    <w:rsid w:val="000F50B4"/>
    <w:rsid w:val="000F5A75"/>
    <w:rsid w:val="000F6694"/>
    <w:rsid w:val="000F6AC5"/>
    <w:rsid w:val="001015CE"/>
    <w:rsid w:val="00101862"/>
    <w:rsid w:val="00101A89"/>
    <w:rsid w:val="00103428"/>
    <w:rsid w:val="00103B77"/>
    <w:rsid w:val="00104607"/>
    <w:rsid w:val="00105D2B"/>
    <w:rsid w:val="00111228"/>
    <w:rsid w:val="00111956"/>
    <w:rsid w:val="00112283"/>
    <w:rsid w:val="00113471"/>
    <w:rsid w:val="0011633F"/>
    <w:rsid w:val="00120388"/>
    <w:rsid w:val="00121252"/>
    <w:rsid w:val="001220F0"/>
    <w:rsid w:val="00122CC7"/>
    <w:rsid w:val="00123430"/>
    <w:rsid w:val="001239D2"/>
    <w:rsid w:val="001253A4"/>
    <w:rsid w:val="001255DE"/>
    <w:rsid w:val="001256B4"/>
    <w:rsid w:val="0012645D"/>
    <w:rsid w:val="001272A8"/>
    <w:rsid w:val="00127CF4"/>
    <w:rsid w:val="001309A4"/>
    <w:rsid w:val="00130F6A"/>
    <w:rsid w:val="001316FF"/>
    <w:rsid w:val="0013205C"/>
    <w:rsid w:val="001321C1"/>
    <w:rsid w:val="00135489"/>
    <w:rsid w:val="00135A46"/>
    <w:rsid w:val="00135D62"/>
    <w:rsid w:val="00136680"/>
    <w:rsid w:val="0013679E"/>
    <w:rsid w:val="001379DC"/>
    <w:rsid w:val="00140C5C"/>
    <w:rsid w:val="00140FC0"/>
    <w:rsid w:val="00141462"/>
    <w:rsid w:val="0014528A"/>
    <w:rsid w:val="0014611B"/>
    <w:rsid w:val="0014686E"/>
    <w:rsid w:val="00146F05"/>
    <w:rsid w:val="00151AD3"/>
    <w:rsid w:val="00156817"/>
    <w:rsid w:val="00156F20"/>
    <w:rsid w:val="001571F3"/>
    <w:rsid w:val="00161C6E"/>
    <w:rsid w:val="00161D62"/>
    <w:rsid w:val="00164287"/>
    <w:rsid w:val="00166454"/>
    <w:rsid w:val="001671C0"/>
    <w:rsid w:val="00167AE9"/>
    <w:rsid w:val="0017276F"/>
    <w:rsid w:val="00175072"/>
    <w:rsid w:val="0017671F"/>
    <w:rsid w:val="00176AD4"/>
    <w:rsid w:val="00177142"/>
    <w:rsid w:val="001823C5"/>
    <w:rsid w:val="0018431E"/>
    <w:rsid w:val="001856F4"/>
    <w:rsid w:val="0018578D"/>
    <w:rsid w:val="00185E88"/>
    <w:rsid w:val="001860F5"/>
    <w:rsid w:val="00186535"/>
    <w:rsid w:val="00191486"/>
    <w:rsid w:val="00193874"/>
    <w:rsid w:val="0019437C"/>
    <w:rsid w:val="0019520F"/>
    <w:rsid w:val="001952E8"/>
    <w:rsid w:val="0019553A"/>
    <w:rsid w:val="001A06F4"/>
    <w:rsid w:val="001A0890"/>
    <w:rsid w:val="001A0D0F"/>
    <w:rsid w:val="001A113B"/>
    <w:rsid w:val="001A373D"/>
    <w:rsid w:val="001B1738"/>
    <w:rsid w:val="001B2A7D"/>
    <w:rsid w:val="001B5B53"/>
    <w:rsid w:val="001B65E5"/>
    <w:rsid w:val="001B6A50"/>
    <w:rsid w:val="001C01A5"/>
    <w:rsid w:val="001C07BE"/>
    <w:rsid w:val="001C2EE8"/>
    <w:rsid w:val="001C2F4B"/>
    <w:rsid w:val="001C753C"/>
    <w:rsid w:val="001C7726"/>
    <w:rsid w:val="001D4509"/>
    <w:rsid w:val="001D4F4F"/>
    <w:rsid w:val="001D5D81"/>
    <w:rsid w:val="001D5DE0"/>
    <w:rsid w:val="001E04E7"/>
    <w:rsid w:val="001E3D57"/>
    <w:rsid w:val="001E43FF"/>
    <w:rsid w:val="001E66AB"/>
    <w:rsid w:val="001F1D29"/>
    <w:rsid w:val="001F248C"/>
    <w:rsid w:val="001F3C84"/>
    <w:rsid w:val="001F7242"/>
    <w:rsid w:val="00201892"/>
    <w:rsid w:val="00201A21"/>
    <w:rsid w:val="00202E6A"/>
    <w:rsid w:val="00203F4C"/>
    <w:rsid w:val="00204F22"/>
    <w:rsid w:val="00205486"/>
    <w:rsid w:val="00206EA1"/>
    <w:rsid w:val="00211A4D"/>
    <w:rsid w:val="00212F6E"/>
    <w:rsid w:val="0021575D"/>
    <w:rsid w:val="00217278"/>
    <w:rsid w:val="0022195B"/>
    <w:rsid w:val="00222E24"/>
    <w:rsid w:val="002232DE"/>
    <w:rsid w:val="002302D6"/>
    <w:rsid w:val="00230F3E"/>
    <w:rsid w:val="002349BA"/>
    <w:rsid w:val="00234E92"/>
    <w:rsid w:val="00235744"/>
    <w:rsid w:val="00235757"/>
    <w:rsid w:val="00240234"/>
    <w:rsid w:val="00240936"/>
    <w:rsid w:val="00240BA1"/>
    <w:rsid w:val="00240C64"/>
    <w:rsid w:val="00242642"/>
    <w:rsid w:val="002426A1"/>
    <w:rsid w:val="00242E19"/>
    <w:rsid w:val="002457D4"/>
    <w:rsid w:val="00246049"/>
    <w:rsid w:val="00251799"/>
    <w:rsid w:val="00252765"/>
    <w:rsid w:val="002578B7"/>
    <w:rsid w:val="00262368"/>
    <w:rsid w:val="00263100"/>
    <w:rsid w:val="00265B20"/>
    <w:rsid w:val="00271133"/>
    <w:rsid w:val="0027187F"/>
    <w:rsid w:val="00271EDD"/>
    <w:rsid w:val="00272583"/>
    <w:rsid w:val="0027318E"/>
    <w:rsid w:val="00273A94"/>
    <w:rsid w:val="0027403D"/>
    <w:rsid w:val="00277BF2"/>
    <w:rsid w:val="00277DB9"/>
    <w:rsid w:val="00280240"/>
    <w:rsid w:val="002803A3"/>
    <w:rsid w:val="00280A81"/>
    <w:rsid w:val="00282CFF"/>
    <w:rsid w:val="002848E6"/>
    <w:rsid w:val="00285118"/>
    <w:rsid w:val="00286F21"/>
    <w:rsid w:val="002918FD"/>
    <w:rsid w:val="00292399"/>
    <w:rsid w:val="002937B6"/>
    <w:rsid w:val="00294EE3"/>
    <w:rsid w:val="0029564A"/>
    <w:rsid w:val="00296244"/>
    <w:rsid w:val="00297CC9"/>
    <w:rsid w:val="002A0894"/>
    <w:rsid w:val="002A2496"/>
    <w:rsid w:val="002A35C6"/>
    <w:rsid w:val="002A4085"/>
    <w:rsid w:val="002A6D60"/>
    <w:rsid w:val="002A793B"/>
    <w:rsid w:val="002B0DD1"/>
    <w:rsid w:val="002B1D9A"/>
    <w:rsid w:val="002B3007"/>
    <w:rsid w:val="002B695E"/>
    <w:rsid w:val="002B7944"/>
    <w:rsid w:val="002C3CC2"/>
    <w:rsid w:val="002C4015"/>
    <w:rsid w:val="002C4AAA"/>
    <w:rsid w:val="002C6551"/>
    <w:rsid w:val="002C69A1"/>
    <w:rsid w:val="002C7A79"/>
    <w:rsid w:val="002C7DBA"/>
    <w:rsid w:val="002D13B4"/>
    <w:rsid w:val="002D2078"/>
    <w:rsid w:val="002D6299"/>
    <w:rsid w:val="002D7A52"/>
    <w:rsid w:val="002E19F9"/>
    <w:rsid w:val="002E288E"/>
    <w:rsid w:val="002E2CA9"/>
    <w:rsid w:val="002E6976"/>
    <w:rsid w:val="002E7517"/>
    <w:rsid w:val="002E7862"/>
    <w:rsid w:val="002F26C3"/>
    <w:rsid w:val="002F3AB9"/>
    <w:rsid w:val="002F4547"/>
    <w:rsid w:val="002F4E65"/>
    <w:rsid w:val="002F4EBB"/>
    <w:rsid w:val="002F55BA"/>
    <w:rsid w:val="002F785E"/>
    <w:rsid w:val="00300ED1"/>
    <w:rsid w:val="00301F4B"/>
    <w:rsid w:val="003031B0"/>
    <w:rsid w:val="00306750"/>
    <w:rsid w:val="00306876"/>
    <w:rsid w:val="003078DD"/>
    <w:rsid w:val="003113C6"/>
    <w:rsid w:val="00312AC6"/>
    <w:rsid w:val="0031447D"/>
    <w:rsid w:val="003148C3"/>
    <w:rsid w:val="00314B88"/>
    <w:rsid w:val="00315B9B"/>
    <w:rsid w:val="003216D2"/>
    <w:rsid w:val="00321D14"/>
    <w:rsid w:val="00322EC0"/>
    <w:rsid w:val="0032307B"/>
    <w:rsid w:val="003239B6"/>
    <w:rsid w:val="003253A8"/>
    <w:rsid w:val="00325935"/>
    <w:rsid w:val="0032614B"/>
    <w:rsid w:val="00326380"/>
    <w:rsid w:val="003270DF"/>
    <w:rsid w:val="0032751C"/>
    <w:rsid w:val="003275A9"/>
    <w:rsid w:val="00330E85"/>
    <w:rsid w:val="003335ED"/>
    <w:rsid w:val="00335188"/>
    <w:rsid w:val="003367B2"/>
    <w:rsid w:val="00342B55"/>
    <w:rsid w:val="00343310"/>
    <w:rsid w:val="00345D3F"/>
    <w:rsid w:val="00345EE7"/>
    <w:rsid w:val="003474BC"/>
    <w:rsid w:val="00347810"/>
    <w:rsid w:val="003520B9"/>
    <w:rsid w:val="003523BF"/>
    <w:rsid w:val="00353457"/>
    <w:rsid w:val="0035526C"/>
    <w:rsid w:val="00355CE7"/>
    <w:rsid w:val="00355E60"/>
    <w:rsid w:val="00357C90"/>
    <w:rsid w:val="00361C27"/>
    <w:rsid w:val="0036456B"/>
    <w:rsid w:val="00364924"/>
    <w:rsid w:val="00366015"/>
    <w:rsid w:val="00366833"/>
    <w:rsid w:val="0036712B"/>
    <w:rsid w:val="00367367"/>
    <w:rsid w:val="00372AE6"/>
    <w:rsid w:val="0037446E"/>
    <w:rsid w:val="00374FFC"/>
    <w:rsid w:val="00380592"/>
    <w:rsid w:val="00380C2C"/>
    <w:rsid w:val="00383804"/>
    <w:rsid w:val="00383A3C"/>
    <w:rsid w:val="00383DB3"/>
    <w:rsid w:val="00383F75"/>
    <w:rsid w:val="00384184"/>
    <w:rsid w:val="00385ED8"/>
    <w:rsid w:val="00392276"/>
    <w:rsid w:val="00393824"/>
    <w:rsid w:val="00394260"/>
    <w:rsid w:val="00394A3C"/>
    <w:rsid w:val="003A22C8"/>
    <w:rsid w:val="003A4B0A"/>
    <w:rsid w:val="003A5976"/>
    <w:rsid w:val="003A6F6B"/>
    <w:rsid w:val="003A71C1"/>
    <w:rsid w:val="003B0588"/>
    <w:rsid w:val="003B2BC3"/>
    <w:rsid w:val="003B2DD6"/>
    <w:rsid w:val="003B4316"/>
    <w:rsid w:val="003B6BAD"/>
    <w:rsid w:val="003B6F3F"/>
    <w:rsid w:val="003B7E58"/>
    <w:rsid w:val="003C0872"/>
    <w:rsid w:val="003C39BF"/>
    <w:rsid w:val="003C6075"/>
    <w:rsid w:val="003C6ADC"/>
    <w:rsid w:val="003C7EE8"/>
    <w:rsid w:val="003D14DA"/>
    <w:rsid w:val="003D1ECC"/>
    <w:rsid w:val="003D2BE7"/>
    <w:rsid w:val="003D607F"/>
    <w:rsid w:val="003D6108"/>
    <w:rsid w:val="003E4788"/>
    <w:rsid w:val="003E7091"/>
    <w:rsid w:val="003E79AC"/>
    <w:rsid w:val="003F0C74"/>
    <w:rsid w:val="003F0E39"/>
    <w:rsid w:val="003F40CC"/>
    <w:rsid w:val="003F7353"/>
    <w:rsid w:val="00400079"/>
    <w:rsid w:val="00401E97"/>
    <w:rsid w:val="004040B5"/>
    <w:rsid w:val="0041021D"/>
    <w:rsid w:val="00410533"/>
    <w:rsid w:val="0041140C"/>
    <w:rsid w:val="004115D0"/>
    <w:rsid w:val="00411CF0"/>
    <w:rsid w:val="0041319E"/>
    <w:rsid w:val="00416218"/>
    <w:rsid w:val="00420CC4"/>
    <w:rsid w:val="0042163F"/>
    <w:rsid w:val="00422410"/>
    <w:rsid w:val="00426265"/>
    <w:rsid w:val="00426F3C"/>
    <w:rsid w:val="004301D9"/>
    <w:rsid w:val="004305E8"/>
    <w:rsid w:val="00430C5A"/>
    <w:rsid w:val="00431F7A"/>
    <w:rsid w:val="00432339"/>
    <w:rsid w:val="004323A8"/>
    <w:rsid w:val="004323EA"/>
    <w:rsid w:val="0043274A"/>
    <w:rsid w:val="0043380B"/>
    <w:rsid w:val="00434F99"/>
    <w:rsid w:val="00437EFD"/>
    <w:rsid w:val="004400DF"/>
    <w:rsid w:val="00441085"/>
    <w:rsid w:val="00441B84"/>
    <w:rsid w:val="00441CF7"/>
    <w:rsid w:val="00443745"/>
    <w:rsid w:val="004438B5"/>
    <w:rsid w:val="004442EF"/>
    <w:rsid w:val="00445DA2"/>
    <w:rsid w:val="00447F3D"/>
    <w:rsid w:val="004501B7"/>
    <w:rsid w:val="0045238C"/>
    <w:rsid w:val="0045503B"/>
    <w:rsid w:val="00455374"/>
    <w:rsid w:val="00455B97"/>
    <w:rsid w:val="00456DA3"/>
    <w:rsid w:val="004614CD"/>
    <w:rsid w:val="00463F8F"/>
    <w:rsid w:val="0046425B"/>
    <w:rsid w:val="0046492B"/>
    <w:rsid w:val="0046610B"/>
    <w:rsid w:val="004729A0"/>
    <w:rsid w:val="00473509"/>
    <w:rsid w:val="00473FF5"/>
    <w:rsid w:val="0047414A"/>
    <w:rsid w:val="004744F9"/>
    <w:rsid w:val="00474F5F"/>
    <w:rsid w:val="00476289"/>
    <w:rsid w:val="0047743D"/>
    <w:rsid w:val="00477780"/>
    <w:rsid w:val="00480F16"/>
    <w:rsid w:val="00482D00"/>
    <w:rsid w:val="00483365"/>
    <w:rsid w:val="004845D4"/>
    <w:rsid w:val="004850EC"/>
    <w:rsid w:val="00485C95"/>
    <w:rsid w:val="00485CF3"/>
    <w:rsid w:val="00490A19"/>
    <w:rsid w:val="00491125"/>
    <w:rsid w:val="0049174D"/>
    <w:rsid w:val="00492855"/>
    <w:rsid w:val="0049531F"/>
    <w:rsid w:val="00496892"/>
    <w:rsid w:val="004A06C9"/>
    <w:rsid w:val="004A0FCB"/>
    <w:rsid w:val="004A156B"/>
    <w:rsid w:val="004A3E23"/>
    <w:rsid w:val="004A5C9B"/>
    <w:rsid w:val="004B322C"/>
    <w:rsid w:val="004B3FD7"/>
    <w:rsid w:val="004B57A1"/>
    <w:rsid w:val="004B5EDA"/>
    <w:rsid w:val="004C04C3"/>
    <w:rsid w:val="004C2389"/>
    <w:rsid w:val="004C3230"/>
    <w:rsid w:val="004C5F55"/>
    <w:rsid w:val="004C682A"/>
    <w:rsid w:val="004D2A6D"/>
    <w:rsid w:val="004E1817"/>
    <w:rsid w:val="004E4438"/>
    <w:rsid w:val="004E6020"/>
    <w:rsid w:val="004E7B7B"/>
    <w:rsid w:val="004F04EC"/>
    <w:rsid w:val="004F0662"/>
    <w:rsid w:val="004F14FE"/>
    <w:rsid w:val="004F1997"/>
    <w:rsid w:val="004F1BA9"/>
    <w:rsid w:val="004F2B85"/>
    <w:rsid w:val="004F5354"/>
    <w:rsid w:val="004F5697"/>
    <w:rsid w:val="004F56E1"/>
    <w:rsid w:val="00500062"/>
    <w:rsid w:val="00501F81"/>
    <w:rsid w:val="00502BA3"/>
    <w:rsid w:val="00503DA3"/>
    <w:rsid w:val="00505580"/>
    <w:rsid w:val="00505D0C"/>
    <w:rsid w:val="00505F9F"/>
    <w:rsid w:val="005152E2"/>
    <w:rsid w:val="0052008A"/>
    <w:rsid w:val="00520476"/>
    <w:rsid w:val="00522C6F"/>
    <w:rsid w:val="0052585E"/>
    <w:rsid w:val="00525FEE"/>
    <w:rsid w:val="00526D90"/>
    <w:rsid w:val="00530991"/>
    <w:rsid w:val="005342E8"/>
    <w:rsid w:val="0053528A"/>
    <w:rsid w:val="00535EA4"/>
    <w:rsid w:val="0053781D"/>
    <w:rsid w:val="005379CC"/>
    <w:rsid w:val="005379F0"/>
    <w:rsid w:val="005379F8"/>
    <w:rsid w:val="00540ED7"/>
    <w:rsid w:val="00543717"/>
    <w:rsid w:val="00544040"/>
    <w:rsid w:val="0054418A"/>
    <w:rsid w:val="005447D9"/>
    <w:rsid w:val="00544A09"/>
    <w:rsid w:val="00544F51"/>
    <w:rsid w:val="0054550E"/>
    <w:rsid w:val="00545801"/>
    <w:rsid w:val="00545A72"/>
    <w:rsid w:val="00546103"/>
    <w:rsid w:val="00546B0B"/>
    <w:rsid w:val="0055066E"/>
    <w:rsid w:val="00550A3C"/>
    <w:rsid w:val="00551F4F"/>
    <w:rsid w:val="0055295F"/>
    <w:rsid w:val="00552B21"/>
    <w:rsid w:val="00552D1A"/>
    <w:rsid w:val="00555F08"/>
    <w:rsid w:val="00556E3E"/>
    <w:rsid w:val="005578A8"/>
    <w:rsid w:val="005601B2"/>
    <w:rsid w:val="00561FB4"/>
    <w:rsid w:val="00562909"/>
    <w:rsid w:val="00564516"/>
    <w:rsid w:val="00570624"/>
    <w:rsid w:val="00571789"/>
    <w:rsid w:val="005717BF"/>
    <w:rsid w:val="00571E97"/>
    <w:rsid w:val="00572903"/>
    <w:rsid w:val="005738A9"/>
    <w:rsid w:val="005748B7"/>
    <w:rsid w:val="005767C7"/>
    <w:rsid w:val="00576C11"/>
    <w:rsid w:val="0057759D"/>
    <w:rsid w:val="00582AB6"/>
    <w:rsid w:val="005839FB"/>
    <w:rsid w:val="00583B7C"/>
    <w:rsid w:val="00583C08"/>
    <w:rsid w:val="00585074"/>
    <w:rsid w:val="0059042F"/>
    <w:rsid w:val="00592ADF"/>
    <w:rsid w:val="00593E10"/>
    <w:rsid w:val="005979D6"/>
    <w:rsid w:val="005A0129"/>
    <w:rsid w:val="005A19FF"/>
    <w:rsid w:val="005A344C"/>
    <w:rsid w:val="005A37F8"/>
    <w:rsid w:val="005A3F92"/>
    <w:rsid w:val="005A4F92"/>
    <w:rsid w:val="005A5430"/>
    <w:rsid w:val="005A5F00"/>
    <w:rsid w:val="005B246D"/>
    <w:rsid w:val="005B2CE3"/>
    <w:rsid w:val="005B2DA7"/>
    <w:rsid w:val="005B53C6"/>
    <w:rsid w:val="005B5D2A"/>
    <w:rsid w:val="005B7828"/>
    <w:rsid w:val="005B7C32"/>
    <w:rsid w:val="005C33F1"/>
    <w:rsid w:val="005C36AE"/>
    <w:rsid w:val="005D16CF"/>
    <w:rsid w:val="005D2714"/>
    <w:rsid w:val="005D5579"/>
    <w:rsid w:val="005D739F"/>
    <w:rsid w:val="005E0B42"/>
    <w:rsid w:val="005E0B44"/>
    <w:rsid w:val="005E1507"/>
    <w:rsid w:val="005E2E22"/>
    <w:rsid w:val="005E4596"/>
    <w:rsid w:val="005E54A2"/>
    <w:rsid w:val="005E6183"/>
    <w:rsid w:val="005E6B2F"/>
    <w:rsid w:val="005F1CB7"/>
    <w:rsid w:val="005F5433"/>
    <w:rsid w:val="005F5A30"/>
    <w:rsid w:val="005F658E"/>
    <w:rsid w:val="005F72CB"/>
    <w:rsid w:val="005F77A2"/>
    <w:rsid w:val="005F78AC"/>
    <w:rsid w:val="00600AD3"/>
    <w:rsid w:val="0060100D"/>
    <w:rsid w:val="00601FF5"/>
    <w:rsid w:val="00602320"/>
    <w:rsid w:val="00602AD8"/>
    <w:rsid w:val="006041F4"/>
    <w:rsid w:val="00606F46"/>
    <w:rsid w:val="00614DAA"/>
    <w:rsid w:val="00617AF2"/>
    <w:rsid w:val="00620932"/>
    <w:rsid w:val="0062128B"/>
    <w:rsid w:val="0062194F"/>
    <w:rsid w:val="00621EC1"/>
    <w:rsid w:val="00624ADC"/>
    <w:rsid w:val="0063519B"/>
    <w:rsid w:val="0063563D"/>
    <w:rsid w:val="00635A81"/>
    <w:rsid w:val="0064054E"/>
    <w:rsid w:val="0064283A"/>
    <w:rsid w:val="006429E0"/>
    <w:rsid w:val="00643527"/>
    <w:rsid w:val="006440E8"/>
    <w:rsid w:val="0064483F"/>
    <w:rsid w:val="00646372"/>
    <w:rsid w:val="00646591"/>
    <w:rsid w:val="00646AE3"/>
    <w:rsid w:val="00646E76"/>
    <w:rsid w:val="00647C44"/>
    <w:rsid w:val="0065005E"/>
    <w:rsid w:val="00650CF2"/>
    <w:rsid w:val="00652B2F"/>
    <w:rsid w:val="006558EF"/>
    <w:rsid w:val="006559AE"/>
    <w:rsid w:val="00656250"/>
    <w:rsid w:val="00660A95"/>
    <w:rsid w:val="00660ABC"/>
    <w:rsid w:val="00661B94"/>
    <w:rsid w:val="00662A13"/>
    <w:rsid w:val="00663D3F"/>
    <w:rsid w:val="00664A05"/>
    <w:rsid w:val="00665184"/>
    <w:rsid w:val="00666278"/>
    <w:rsid w:val="00666FE2"/>
    <w:rsid w:val="006721C2"/>
    <w:rsid w:val="00672257"/>
    <w:rsid w:val="00672697"/>
    <w:rsid w:val="006733F7"/>
    <w:rsid w:val="00674A32"/>
    <w:rsid w:val="00676819"/>
    <w:rsid w:val="00676863"/>
    <w:rsid w:val="006769CA"/>
    <w:rsid w:val="00677F84"/>
    <w:rsid w:val="006800AF"/>
    <w:rsid w:val="006805F9"/>
    <w:rsid w:val="00680F91"/>
    <w:rsid w:val="0068326F"/>
    <w:rsid w:val="00684DD9"/>
    <w:rsid w:val="0068575A"/>
    <w:rsid w:val="00685A13"/>
    <w:rsid w:val="00685C1F"/>
    <w:rsid w:val="006872C8"/>
    <w:rsid w:val="00687DA4"/>
    <w:rsid w:val="00691702"/>
    <w:rsid w:val="006925A3"/>
    <w:rsid w:val="00692A04"/>
    <w:rsid w:val="00694399"/>
    <w:rsid w:val="006957EE"/>
    <w:rsid w:val="00695FA6"/>
    <w:rsid w:val="00696C73"/>
    <w:rsid w:val="00697645"/>
    <w:rsid w:val="00697BA4"/>
    <w:rsid w:val="006A0412"/>
    <w:rsid w:val="006A0DAA"/>
    <w:rsid w:val="006A19AE"/>
    <w:rsid w:val="006A471C"/>
    <w:rsid w:val="006A5105"/>
    <w:rsid w:val="006A53F5"/>
    <w:rsid w:val="006A5C55"/>
    <w:rsid w:val="006B00FA"/>
    <w:rsid w:val="006B3A3A"/>
    <w:rsid w:val="006B3EFA"/>
    <w:rsid w:val="006B44B0"/>
    <w:rsid w:val="006B4FA7"/>
    <w:rsid w:val="006B55F6"/>
    <w:rsid w:val="006B6BD2"/>
    <w:rsid w:val="006C13B3"/>
    <w:rsid w:val="006C148A"/>
    <w:rsid w:val="006C2D8C"/>
    <w:rsid w:val="006C4BBA"/>
    <w:rsid w:val="006C4C2B"/>
    <w:rsid w:val="006C5F0B"/>
    <w:rsid w:val="006C6BFB"/>
    <w:rsid w:val="006C7373"/>
    <w:rsid w:val="006C7478"/>
    <w:rsid w:val="006D0234"/>
    <w:rsid w:val="006D335D"/>
    <w:rsid w:val="006D3482"/>
    <w:rsid w:val="006D3CCA"/>
    <w:rsid w:val="006D4125"/>
    <w:rsid w:val="006D573F"/>
    <w:rsid w:val="006D7DA7"/>
    <w:rsid w:val="006E2A0C"/>
    <w:rsid w:val="006E2DEF"/>
    <w:rsid w:val="006E6C88"/>
    <w:rsid w:val="006F298D"/>
    <w:rsid w:val="006F2B7F"/>
    <w:rsid w:val="006F3E7D"/>
    <w:rsid w:val="006F68B1"/>
    <w:rsid w:val="006F6C80"/>
    <w:rsid w:val="006F7D5F"/>
    <w:rsid w:val="00701458"/>
    <w:rsid w:val="00701DBF"/>
    <w:rsid w:val="00702FA1"/>
    <w:rsid w:val="00707295"/>
    <w:rsid w:val="0071011A"/>
    <w:rsid w:val="00712B01"/>
    <w:rsid w:val="0071530E"/>
    <w:rsid w:val="00715631"/>
    <w:rsid w:val="00716352"/>
    <w:rsid w:val="00721E4B"/>
    <w:rsid w:val="007220B8"/>
    <w:rsid w:val="007231DD"/>
    <w:rsid w:val="00724AB1"/>
    <w:rsid w:val="00725F55"/>
    <w:rsid w:val="00726AAA"/>
    <w:rsid w:val="00726BE7"/>
    <w:rsid w:val="00727AE8"/>
    <w:rsid w:val="00727CB2"/>
    <w:rsid w:val="00730F6B"/>
    <w:rsid w:val="00731296"/>
    <w:rsid w:val="007329EA"/>
    <w:rsid w:val="0073395C"/>
    <w:rsid w:val="00734E66"/>
    <w:rsid w:val="007360B9"/>
    <w:rsid w:val="007364E3"/>
    <w:rsid w:val="00736C12"/>
    <w:rsid w:val="007374C6"/>
    <w:rsid w:val="00740A5D"/>
    <w:rsid w:val="00740A93"/>
    <w:rsid w:val="007410CE"/>
    <w:rsid w:val="00743305"/>
    <w:rsid w:val="00743E04"/>
    <w:rsid w:val="00744631"/>
    <w:rsid w:val="007461A4"/>
    <w:rsid w:val="00751624"/>
    <w:rsid w:val="00751F37"/>
    <w:rsid w:val="007537F3"/>
    <w:rsid w:val="00753B28"/>
    <w:rsid w:val="007548E2"/>
    <w:rsid w:val="00754955"/>
    <w:rsid w:val="007559B5"/>
    <w:rsid w:val="00760C20"/>
    <w:rsid w:val="007620C4"/>
    <w:rsid w:val="00762BEE"/>
    <w:rsid w:val="00763740"/>
    <w:rsid w:val="007638F0"/>
    <w:rsid w:val="007668CF"/>
    <w:rsid w:val="00766E2B"/>
    <w:rsid w:val="00771304"/>
    <w:rsid w:val="00771B69"/>
    <w:rsid w:val="00773118"/>
    <w:rsid w:val="007756FA"/>
    <w:rsid w:val="007757F9"/>
    <w:rsid w:val="00781C69"/>
    <w:rsid w:val="00782A97"/>
    <w:rsid w:val="00782E1A"/>
    <w:rsid w:val="00784D34"/>
    <w:rsid w:val="0078582A"/>
    <w:rsid w:val="007859AD"/>
    <w:rsid w:val="00787ED2"/>
    <w:rsid w:val="007905A2"/>
    <w:rsid w:val="00790EF6"/>
    <w:rsid w:val="007911C6"/>
    <w:rsid w:val="00791582"/>
    <w:rsid w:val="0079297F"/>
    <w:rsid w:val="00792F05"/>
    <w:rsid w:val="00796945"/>
    <w:rsid w:val="00797F44"/>
    <w:rsid w:val="007A16AA"/>
    <w:rsid w:val="007A2118"/>
    <w:rsid w:val="007A37A2"/>
    <w:rsid w:val="007A454D"/>
    <w:rsid w:val="007A4AA1"/>
    <w:rsid w:val="007A6522"/>
    <w:rsid w:val="007A6DE0"/>
    <w:rsid w:val="007B0833"/>
    <w:rsid w:val="007C1A34"/>
    <w:rsid w:val="007C1ED5"/>
    <w:rsid w:val="007C2505"/>
    <w:rsid w:val="007C30B3"/>
    <w:rsid w:val="007C43E0"/>
    <w:rsid w:val="007C4E26"/>
    <w:rsid w:val="007D069C"/>
    <w:rsid w:val="007D13DD"/>
    <w:rsid w:val="007D2FCB"/>
    <w:rsid w:val="007D4EB6"/>
    <w:rsid w:val="007D630C"/>
    <w:rsid w:val="007D6F83"/>
    <w:rsid w:val="007F2621"/>
    <w:rsid w:val="007F5A97"/>
    <w:rsid w:val="007F7FFD"/>
    <w:rsid w:val="0080073E"/>
    <w:rsid w:val="00801260"/>
    <w:rsid w:val="0080245B"/>
    <w:rsid w:val="00803847"/>
    <w:rsid w:val="00805498"/>
    <w:rsid w:val="00807951"/>
    <w:rsid w:val="008108F4"/>
    <w:rsid w:val="00811DFA"/>
    <w:rsid w:val="008121DE"/>
    <w:rsid w:val="0081249F"/>
    <w:rsid w:val="00812522"/>
    <w:rsid w:val="0082127F"/>
    <w:rsid w:val="00823CBA"/>
    <w:rsid w:val="008243E6"/>
    <w:rsid w:val="00831770"/>
    <w:rsid w:val="008322BF"/>
    <w:rsid w:val="00834795"/>
    <w:rsid w:val="008405C2"/>
    <w:rsid w:val="0084307B"/>
    <w:rsid w:val="008443E8"/>
    <w:rsid w:val="008445BC"/>
    <w:rsid w:val="008450ED"/>
    <w:rsid w:val="00845E11"/>
    <w:rsid w:val="008465D8"/>
    <w:rsid w:val="00850569"/>
    <w:rsid w:val="00850B58"/>
    <w:rsid w:val="0085408C"/>
    <w:rsid w:val="00854787"/>
    <w:rsid w:val="00854907"/>
    <w:rsid w:val="00854CE9"/>
    <w:rsid w:val="008570A7"/>
    <w:rsid w:val="00857E32"/>
    <w:rsid w:val="00857FBD"/>
    <w:rsid w:val="00860BB8"/>
    <w:rsid w:val="0086300D"/>
    <w:rsid w:val="00864E50"/>
    <w:rsid w:val="008659EB"/>
    <w:rsid w:val="00865A0B"/>
    <w:rsid w:val="008668D3"/>
    <w:rsid w:val="008676DC"/>
    <w:rsid w:val="00867897"/>
    <w:rsid w:val="0087113D"/>
    <w:rsid w:val="008747C4"/>
    <w:rsid w:val="008764C6"/>
    <w:rsid w:val="0087712D"/>
    <w:rsid w:val="008772E0"/>
    <w:rsid w:val="008774F0"/>
    <w:rsid w:val="008777A0"/>
    <w:rsid w:val="008778A1"/>
    <w:rsid w:val="008801B5"/>
    <w:rsid w:val="00890AC3"/>
    <w:rsid w:val="0089136C"/>
    <w:rsid w:val="008975FB"/>
    <w:rsid w:val="008A006A"/>
    <w:rsid w:val="008A2D34"/>
    <w:rsid w:val="008A4CCD"/>
    <w:rsid w:val="008A6F1C"/>
    <w:rsid w:val="008B2379"/>
    <w:rsid w:val="008B2724"/>
    <w:rsid w:val="008B3C16"/>
    <w:rsid w:val="008B6AF2"/>
    <w:rsid w:val="008C1C8B"/>
    <w:rsid w:val="008C2EEB"/>
    <w:rsid w:val="008C34CA"/>
    <w:rsid w:val="008C3EDC"/>
    <w:rsid w:val="008C6116"/>
    <w:rsid w:val="008C6580"/>
    <w:rsid w:val="008C729B"/>
    <w:rsid w:val="008C7BEF"/>
    <w:rsid w:val="008D0E2B"/>
    <w:rsid w:val="008D2676"/>
    <w:rsid w:val="008D2E18"/>
    <w:rsid w:val="008D333C"/>
    <w:rsid w:val="008D7F97"/>
    <w:rsid w:val="008E1134"/>
    <w:rsid w:val="008E13FE"/>
    <w:rsid w:val="008E1D95"/>
    <w:rsid w:val="008E2F7E"/>
    <w:rsid w:val="008E7772"/>
    <w:rsid w:val="008F1E95"/>
    <w:rsid w:val="008F22AA"/>
    <w:rsid w:val="008F36F9"/>
    <w:rsid w:val="008F3A95"/>
    <w:rsid w:val="008F5D11"/>
    <w:rsid w:val="009005B0"/>
    <w:rsid w:val="00901213"/>
    <w:rsid w:val="00903CA7"/>
    <w:rsid w:val="00905124"/>
    <w:rsid w:val="00905F6E"/>
    <w:rsid w:val="00906A11"/>
    <w:rsid w:val="00907C05"/>
    <w:rsid w:val="00910D29"/>
    <w:rsid w:val="00914F78"/>
    <w:rsid w:val="009162CB"/>
    <w:rsid w:val="0091633F"/>
    <w:rsid w:val="00920A32"/>
    <w:rsid w:val="009218D0"/>
    <w:rsid w:val="009220B1"/>
    <w:rsid w:val="009274CC"/>
    <w:rsid w:val="0093000E"/>
    <w:rsid w:val="00933885"/>
    <w:rsid w:val="00933B02"/>
    <w:rsid w:val="00933F5E"/>
    <w:rsid w:val="00934100"/>
    <w:rsid w:val="0093675A"/>
    <w:rsid w:val="009375E8"/>
    <w:rsid w:val="00940924"/>
    <w:rsid w:val="00940DDD"/>
    <w:rsid w:val="0094185F"/>
    <w:rsid w:val="0094342B"/>
    <w:rsid w:val="009441E6"/>
    <w:rsid w:val="0094616C"/>
    <w:rsid w:val="00950C82"/>
    <w:rsid w:val="00952663"/>
    <w:rsid w:val="00955791"/>
    <w:rsid w:val="00961435"/>
    <w:rsid w:val="0096154C"/>
    <w:rsid w:val="00961CD8"/>
    <w:rsid w:val="009626D3"/>
    <w:rsid w:val="009629E8"/>
    <w:rsid w:val="00962CBE"/>
    <w:rsid w:val="00962ED4"/>
    <w:rsid w:val="00964939"/>
    <w:rsid w:val="009653BD"/>
    <w:rsid w:val="00965C8A"/>
    <w:rsid w:val="00967AE5"/>
    <w:rsid w:val="0097208F"/>
    <w:rsid w:val="00977A2C"/>
    <w:rsid w:val="009805ED"/>
    <w:rsid w:val="00980D9A"/>
    <w:rsid w:val="0098173A"/>
    <w:rsid w:val="009817EE"/>
    <w:rsid w:val="00986C0D"/>
    <w:rsid w:val="009878C6"/>
    <w:rsid w:val="009905A2"/>
    <w:rsid w:val="009923B4"/>
    <w:rsid w:val="00992E75"/>
    <w:rsid w:val="00992EBD"/>
    <w:rsid w:val="00993D70"/>
    <w:rsid w:val="00995D2B"/>
    <w:rsid w:val="009961FF"/>
    <w:rsid w:val="00996EB9"/>
    <w:rsid w:val="00997245"/>
    <w:rsid w:val="009A1BB5"/>
    <w:rsid w:val="009A30A9"/>
    <w:rsid w:val="009A3495"/>
    <w:rsid w:val="009A37AD"/>
    <w:rsid w:val="009A4576"/>
    <w:rsid w:val="009A46B6"/>
    <w:rsid w:val="009A47DD"/>
    <w:rsid w:val="009A5531"/>
    <w:rsid w:val="009A5565"/>
    <w:rsid w:val="009B1149"/>
    <w:rsid w:val="009B1544"/>
    <w:rsid w:val="009B3A4F"/>
    <w:rsid w:val="009B3B42"/>
    <w:rsid w:val="009B427B"/>
    <w:rsid w:val="009B46D4"/>
    <w:rsid w:val="009B48C0"/>
    <w:rsid w:val="009B4B4D"/>
    <w:rsid w:val="009B515C"/>
    <w:rsid w:val="009B55FE"/>
    <w:rsid w:val="009B5E17"/>
    <w:rsid w:val="009B627E"/>
    <w:rsid w:val="009B6E40"/>
    <w:rsid w:val="009B72EB"/>
    <w:rsid w:val="009B7668"/>
    <w:rsid w:val="009C08DE"/>
    <w:rsid w:val="009C167E"/>
    <w:rsid w:val="009C200E"/>
    <w:rsid w:val="009C2344"/>
    <w:rsid w:val="009C2B55"/>
    <w:rsid w:val="009C2D5C"/>
    <w:rsid w:val="009C6183"/>
    <w:rsid w:val="009D0302"/>
    <w:rsid w:val="009D0BA5"/>
    <w:rsid w:val="009D213B"/>
    <w:rsid w:val="009D4E5B"/>
    <w:rsid w:val="009D5534"/>
    <w:rsid w:val="009E07AD"/>
    <w:rsid w:val="009E0E51"/>
    <w:rsid w:val="009E159A"/>
    <w:rsid w:val="009E1D4A"/>
    <w:rsid w:val="009E3F4B"/>
    <w:rsid w:val="009E6B9F"/>
    <w:rsid w:val="009F023D"/>
    <w:rsid w:val="009F3C3E"/>
    <w:rsid w:val="009F49C6"/>
    <w:rsid w:val="009F5BCD"/>
    <w:rsid w:val="009F5D4B"/>
    <w:rsid w:val="009F5E43"/>
    <w:rsid w:val="00A01ADB"/>
    <w:rsid w:val="00A01FD0"/>
    <w:rsid w:val="00A051BD"/>
    <w:rsid w:val="00A052B1"/>
    <w:rsid w:val="00A06688"/>
    <w:rsid w:val="00A10561"/>
    <w:rsid w:val="00A10A98"/>
    <w:rsid w:val="00A11C03"/>
    <w:rsid w:val="00A12ECE"/>
    <w:rsid w:val="00A12FAA"/>
    <w:rsid w:val="00A136E5"/>
    <w:rsid w:val="00A137FD"/>
    <w:rsid w:val="00A16B5E"/>
    <w:rsid w:val="00A201ED"/>
    <w:rsid w:val="00A24C30"/>
    <w:rsid w:val="00A2741B"/>
    <w:rsid w:val="00A27A4A"/>
    <w:rsid w:val="00A31ACA"/>
    <w:rsid w:val="00A34522"/>
    <w:rsid w:val="00A35008"/>
    <w:rsid w:val="00A40A32"/>
    <w:rsid w:val="00A41A20"/>
    <w:rsid w:val="00A4218B"/>
    <w:rsid w:val="00A426E6"/>
    <w:rsid w:val="00A426E9"/>
    <w:rsid w:val="00A44741"/>
    <w:rsid w:val="00A44785"/>
    <w:rsid w:val="00A479A5"/>
    <w:rsid w:val="00A509A9"/>
    <w:rsid w:val="00A5139B"/>
    <w:rsid w:val="00A53358"/>
    <w:rsid w:val="00A53419"/>
    <w:rsid w:val="00A55EF3"/>
    <w:rsid w:val="00A56CDB"/>
    <w:rsid w:val="00A56CDD"/>
    <w:rsid w:val="00A57D9C"/>
    <w:rsid w:val="00A62126"/>
    <w:rsid w:val="00A63537"/>
    <w:rsid w:val="00A65902"/>
    <w:rsid w:val="00A66C8C"/>
    <w:rsid w:val="00A67107"/>
    <w:rsid w:val="00A71F7A"/>
    <w:rsid w:val="00A72477"/>
    <w:rsid w:val="00A72679"/>
    <w:rsid w:val="00A75047"/>
    <w:rsid w:val="00A76A71"/>
    <w:rsid w:val="00A77842"/>
    <w:rsid w:val="00A77C75"/>
    <w:rsid w:val="00A77E2E"/>
    <w:rsid w:val="00A805F2"/>
    <w:rsid w:val="00A82CFA"/>
    <w:rsid w:val="00A83567"/>
    <w:rsid w:val="00A83E62"/>
    <w:rsid w:val="00A84A19"/>
    <w:rsid w:val="00A84C90"/>
    <w:rsid w:val="00A85FED"/>
    <w:rsid w:val="00A867EE"/>
    <w:rsid w:val="00A90E0B"/>
    <w:rsid w:val="00A9133D"/>
    <w:rsid w:val="00A914A8"/>
    <w:rsid w:val="00A915A3"/>
    <w:rsid w:val="00A93B1F"/>
    <w:rsid w:val="00A9413F"/>
    <w:rsid w:val="00A97B27"/>
    <w:rsid w:val="00AA0458"/>
    <w:rsid w:val="00AA0ADB"/>
    <w:rsid w:val="00AA0E9E"/>
    <w:rsid w:val="00AA276C"/>
    <w:rsid w:val="00AA2C4F"/>
    <w:rsid w:val="00AA5E38"/>
    <w:rsid w:val="00AB1E62"/>
    <w:rsid w:val="00AB2A9E"/>
    <w:rsid w:val="00AB41EF"/>
    <w:rsid w:val="00AB69DE"/>
    <w:rsid w:val="00AC01FF"/>
    <w:rsid w:val="00AC02D2"/>
    <w:rsid w:val="00AC19E9"/>
    <w:rsid w:val="00AC281C"/>
    <w:rsid w:val="00AC2F13"/>
    <w:rsid w:val="00AC46DD"/>
    <w:rsid w:val="00AC49B9"/>
    <w:rsid w:val="00AC5089"/>
    <w:rsid w:val="00AC524D"/>
    <w:rsid w:val="00AC6641"/>
    <w:rsid w:val="00AC7769"/>
    <w:rsid w:val="00AD1DB3"/>
    <w:rsid w:val="00AD1FAF"/>
    <w:rsid w:val="00AD3C7B"/>
    <w:rsid w:val="00AD5C59"/>
    <w:rsid w:val="00AD61EA"/>
    <w:rsid w:val="00AD6868"/>
    <w:rsid w:val="00AD7571"/>
    <w:rsid w:val="00AE043C"/>
    <w:rsid w:val="00AE11F6"/>
    <w:rsid w:val="00AE34CF"/>
    <w:rsid w:val="00AE48EF"/>
    <w:rsid w:val="00AE544F"/>
    <w:rsid w:val="00AF209E"/>
    <w:rsid w:val="00AF5660"/>
    <w:rsid w:val="00AF5C36"/>
    <w:rsid w:val="00AF632E"/>
    <w:rsid w:val="00AF6C16"/>
    <w:rsid w:val="00AF6F10"/>
    <w:rsid w:val="00AF72B1"/>
    <w:rsid w:val="00B0155D"/>
    <w:rsid w:val="00B02450"/>
    <w:rsid w:val="00B032CE"/>
    <w:rsid w:val="00B03989"/>
    <w:rsid w:val="00B04952"/>
    <w:rsid w:val="00B05F85"/>
    <w:rsid w:val="00B11440"/>
    <w:rsid w:val="00B11DAF"/>
    <w:rsid w:val="00B137A1"/>
    <w:rsid w:val="00B14D1E"/>
    <w:rsid w:val="00B155D8"/>
    <w:rsid w:val="00B213CF"/>
    <w:rsid w:val="00B2146A"/>
    <w:rsid w:val="00B21CE4"/>
    <w:rsid w:val="00B21D8F"/>
    <w:rsid w:val="00B2507A"/>
    <w:rsid w:val="00B2771C"/>
    <w:rsid w:val="00B27971"/>
    <w:rsid w:val="00B314C7"/>
    <w:rsid w:val="00B33B43"/>
    <w:rsid w:val="00B35286"/>
    <w:rsid w:val="00B357B6"/>
    <w:rsid w:val="00B43846"/>
    <w:rsid w:val="00B43DC2"/>
    <w:rsid w:val="00B446F1"/>
    <w:rsid w:val="00B4795F"/>
    <w:rsid w:val="00B47B23"/>
    <w:rsid w:val="00B47F9E"/>
    <w:rsid w:val="00B51BF7"/>
    <w:rsid w:val="00B52D1C"/>
    <w:rsid w:val="00B54267"/>
    <w:rsid w:val="00B56E2E"/>
    <w:rsid w:val="00B56FCA"/>
    <w:rsid w:val="00B61413"/>
    <w:rsid w:val="00B64359"/>
    <w:rsid w:val="00B65C3F"/>
    <w:rsid w:val="00B70DEC"/>
    <w:rsid w:val="00B72225"/>
    <w:rsid w:val="00B7755E"/>
    <w:rsid w:val="00B802A1"/>
    <w:rsid w:val="00B836E6"/>
    <w:rsid w:val="00B8398A"/>
    <w:rsid w:val="00B8540B"/>
    <w:rsid w:val="00B869E4"/>
    <w:rsid w:val="00B87547"/>
    <w:rsid w:val="00B91CB9"/>
    <w:rsid w:val="00B92C95"/>
    <w:rsid w:val="00B952E1"/>
    <w:rsid w:val="00B96C32"/>
    <w:rsid w:val="00B97688"/>
    <w:rsid w:val="00BA1BDB"/>
    <w:rsid w:val="00BA1EC7"/>
    <w:rsid w:val="00BA37A5"/>
    <w:rsid w:val="00BA4DA2"/>
    <w:rsid w:val="00BA69F6"/>
    <w:rsid w:val="00BB03CD"/>
    <w:rsid w:val="00BB5E1A"/>
    <w:rsid w:val="00BB6573"/>
    <w:rsid w:val="00BC01B8"/>
    <w:rsid w:val="00BC0585"/>
    <w:rsid w:val="00BC21E3"/>
    <w:rsid w:val="00BC3E87"/>
    <w:rsid w:val="00BC48A6"/>
    <w:rsid w:val="00BC5984"/>
    <w:rsid w:val="00BC59AF"/>
    <w:rsid w:val="00BC5D89"/>
    <w:rsid w:val="00BC7D4A"/>
    <w:rsid w:val="00BD025E"/>
    <w:rsid w:val="00BD1399"/>
    <w:rsid w:val="00BD2455"/>
    <w:rsid w:val="00BD4FBD"/>
    <w:rsid w:val="00BD5773"/>
    <w:rsid w:val="00BE2240"/>
    <w:rsid w:val="00BE2AC3"/>
    <w:rsid w:val="00BE2EA4"/>
    <w:rsid w:val="00BE370A"/>
    <w:rsid w:val="00BE3D84"/>
    <w:rsid w:val="00BE6B03"/>
    <w:rsid w:val="00BE750E"/>
    <w:rsid w:val="00BF0E4D"/>
    <w:rsid w:val="00BF3E64"/>
    <w:rsid w:val="00BF4C71"/>
    <w:rsid w:val="00C00637"/>
    <w:rsid w:val="00C00B25"/>
    <w:rsid w:val="00C04378"/>
    <w:rsid w:val="00C065C2"/>
    <w:rsid w:val="00C11F3E"/>
    <w:rsid w:val="00C11F88"/>
    <w:rsid w:val="00C138EB"/>
    <w:rsid w:val="00C13D87"/>
    <w:rsid w:val="00C15B06"/>
    <w:rsid w:val="00C16F42"/>
    <w:rsid w:val="00C2091B"/>
    <w:rsid w:val="00C2356A"/>
    <w:rsid w:val="00C243B4"/>
    <w:rsid w:val="00C248B6"/>
    <w:rsid w:val="00C258E6"/>
    <w:rsid w:val="00C267F0"/>
    <w:rsid w:val="00C26B33"/>
    <w:rsid w:val="00C27AF0"/>
    <w:rsid w:val="00C32A11"/>
    <w:rsid w:val="00C333EB"/>
    <w:rsid w:val="00C34431"/>
    <w:rsid w:val="00C3554E"/>
    <w:rsid w:val="00C35AC0"/>
    <w:rsid w:val="00C36244"/>
    <w:rsid w:val="00C3633C"/>
    <w:rsid w:val="00C37C2A"/>
    <w:rsid w:val="00C41140"/>
    <w:rsid w:val="00C41B77"/>
    <w:rsid w:val="00C4232D"/>
    <w:rsid w:val="00C43C69"/>
    <w:rsid w:val="00C44049"/>
    <w:rsid w:val="00C47787"/>
    <w:rsid w:val="00C52086"/>
    <w:rsid w:val="00C52ADD"/>
    <w:rsid w:val="00C5322B"/>
    <w:rsid w:val="00C536FD"/>
    <w:rsid w:val="00C558EC"/>
    <w:rsid w:val="00C56608"/>
    <w:rsid w:val="00C569C0"/>
    <w:rsid w:val="00C60C56"/>
    <w:rsid w:val="00C63657"/>
    <w:rsid w:val="00C639AB"/>
    <w:rsid w:val="00C63F04"/>
    <w:rsid w:val="00C64970"/>
    <w:rsid w:val="00C65956"/>
    <w:rsid w:val="00C65BA6"/>
    <w:rsid w:val="00C70100"/>
    <w:rsid w:val="00C70482"/>
    <w:rsid w:val="00C711B9"/>
    <w:rsid w:val="00C71696"/>
    <w:rsid w:val="00C73680"/>
    <w:rsid w:val="00C74305"/>
    <w:rsid w:val="00C75D98"/>
    <w:rsid w:val="00C77F76"/>
    <w:rsid w:val="00C8063F"/>
    <w:rsid w:val="00C8112E"/>
    <w:rsid w:val="00C81679"/>
    <w:rsid w:val="00C83BFE"/>
    <w:rsid w:val="00C84BB4"/>
    <w:rsid w:val="00C856A6"/>
    <w:rsid w:val="00C860BF"/>
    <w:rsid w:val="00C87D67"/>
    <w:rsid w:val="00C90462"/>
    <w:rsid w:val="00C9179E"/>
    <w:rsid w:val="00C93D6D"/>
    <w:rsid w:val="00C96797"/>
    <w:rsid w:val="00C97094"/>
    <w:rsid w:val="00C97EDC"/>
    <w:rsid w:val="00CA053D"/>
    <w:rsid w:val="00CA054B"/>
    <w:rsid w:val="00CA38C5"/>
    <w:rsid w:val="00CA47B6"/>
    <w:rsid w:val="00CA489D"/>
    <w:rsid w:val="00CA4FB6"/>
    <w:rsid w:val="00CA6723"/>
    <w:rsid w:val="00CA6E15"/>
    <w:rsid w:val="00CB0886"/>
    <w:rsid w:val="00CB0C82"/>
    <w:rsid w:val="00CB15AC"/>
    <w:rsid w:val="00CB2046"/>
    <w:rsid w:val="00CB5738"/>
    <w:rsid w:val="00CB6860"/>
    <w:rsid w:val="00CC0878"/>
    <w:rsid w:val="00CC416F"/>
    <w:rsid w:val="00CC561A"/>
    <w:rsid w:val="00CD3CED"/>
    <w:rsid w:val="00CD4901"/>
    <w:rsid w:val="00CD54D7"/>
    <w:rsid w:val="00CD666A"/>
    <w:rsid w:val="00CD7F14"/>
    <w:rsid w:val="00CE022B"/>
    <w:rsid w:val="00CE0984"/>
    <w:rsid w:val="00CE0B48"/>
    <w:rsid w:val="00CE0FF5"/>
    <w:rsid w:val="00CE2F72"/>
    <w:rsid w:val="00CE3BD9"/>
    <w:rsid w:val="00CE54DD"/>
    <w:rsid w:val="00CE6B11"/>
    <w:rsid w:val="00CE6D90"/>
    <w:rsid w:val="00CF0DD5"/>
    <w:rsid w:val="00CF1F8A"/>
    <w:rsid w:val="00CF3BF1"/>
    <w:rsid w:val="00CF52C8"/>
    <w:rsid w:val="00CF58DB"/>
    <w:rsid w:val="00CF76F5"/>
    <w:rsid w:val="00D00531"/>
    <w:rsid w:val="00D007B0"/>
    <w:rsid w:val="00D014DC"/>
    <w:rsid w:val="00D0244F"/>
    <w:rsid w:val="00D03D5D"/>
    <w:rsid w:val="00D04AF1"/>
    <w:rsid w:val="00D057E0"/>
    <w:rsid w:val="00D0660B"/>
    <w:rsid w:val="00D06621"/>
    <w:rsid w:val="00D0781B"/>
    <w:rsid w:val="00D12FEE"/>
    <w:rsid w:val="00D132D4"/>
    <w:rsid w:val="00D14085"/>
    <w:rsid w:val="00D141C3"/>
    <w:rsid w:val="00D158EF"/>
    <w:rsid w:val="00D17D00"/>
    <w:rsid w:val="00D20C19"/>
    <w:rsid w:val="00D2196E"/>
    <w:rsid w:val="00D255CC"/>
    <w:rsid w:val="00D32418"/>
    <w:rsid w:val="00D33916"/>
    <w:rsid w:val="00D34FCA"/>
    <w:rsid w:val="00D35223"/>
    <w:rsid w:val="00D359DB"/>
    <w:rsid w:val="00D40A75"/>
    <w:rsid w:val="00D40FDC"/>
    <w:rsid w:val="00D41589"/>
    <w:rsid w:val="00D42A5A"/>
    <w:rsid w:val="00D433EE"/>
    <w:rsid w:val="00D43779"/>
    <w:rsid w:val="00D44126"/>
    <w:rsid w:val="00D45908"/>
    <w:rsid w:val="00D46879"/>
    <w:rsid w:val="00D473BF"/>
    <w:rsid w:val="00D4764B"/>
    <w:rsid w:val="00D528CB"/>
    <w:rsid w:val="00D52AC5"/>
    <w:rsid w:val="00D5756B"/>
    <w:rsid w:val="00D61517"/>
    <w:rsid w:val="00D6324F"/>
    <w:rsid w:val="00D63FF4"/>
    <w:rsid w:val="00D65DE8"/>
    <w:rsid w:val="00D6772B"/>
    <w:rsid w:val="00D67D81"/>
    <w:rsid w:val="00D74850"/>
    <w:rsid w:val="00D763A8"/>
    <w:rsid w:val="00D8100B"/>
    <w:rsid w:val="00D819E2"/>
    <w:rsid w:val="00D81DE0"/>
    <w:rsid w:val="00D8295C"/>
    <w:rsid w:val="00D82D83"/>
    <w:rsid w:val="00D843C4"/>
    <w:rsid w:val="00D85AD6"/>
    <w:rsid w:val="00D85F02"/>
    <w:rsid w:val="00D862A6"/>
    <w:rsid w:val="00D9015B"/>
    <w:rsid w:val="00D92B51"/>
    <w:rsid w:val="00D954D7"/>
    <w:rsid w:val="00D96A18"/>
    <w:rsid w:val="00D96DEB"/>
    <w:rsid w:val="00D974BD"/>
    <w:rsid w:val="00DA061A"/>
    <w:rsid w:val="00DA0AE4"/>
    <w:rsid w:val="00DA1468"/>
    <w:rsid w:val="00DA3990"/>
    <w:rsid w:val="00DA4127"/>
    <w:rsid w:val="00DA5212"/>
    <w:rsid w:val="00DB0435"/>
    <w:rsid w:val="00DB0E46"/>
    <w:rsid w:val="00DB3A96"/>
    <w:rsid w:val="00DB4C30"/>
    <w:rsid w:val="00DB5FED"/>
    <w:rsid w:val="00DB77B8"/>
    <w:rsid w:val="00DC0387"/>
    <w:rsid w:val="00DC073E"/>
    <w:rsid w:val="00DC2D29"/>
    <w:rsid w:val="00DC4A15"/>
    <w:rsid w:val="00DC7054"/>
    <w:rsid w:val="00DC706F"/>
    <w:rsid w:val="00DD0DA6"/>
    <w:rsid w:val="00DD1071"/>
    <w:rsid w:val="00DD2B52"/>
    <w:rsid w:val="00DD2E11"/>
    <w:rsid w:val="00DD2E2D"/>
    <w:rsid w:val="00DD3CEA"/>
    <w:rsid w:val="00DD3F10"/>
    <w:rsid w:val="00DD43B1"/>
    <w:rsid w:val="00DD5801"/>
    <w:rsid w:val="00DD7334"/>
    <w:rsid w:val="00DD78E0"/>
    <w:rsid w:val="00DD7DD2"/>
    <w:rsid w:val="00DE10A9"/>
    <w:rsid w:val="00DE1CB5"/>
    <w:rsid w:val="00DE56A7"/>
    <w:rsid w:val="00DE7750"/>
    <w:rsid w:val="00DF2A7B"/>
    <w:rsid w:val="00DF4DC4"/>
    <w:rsid w:val="00DF601C"/>
    <w:rsid w:val="00DF70B1"/>
    <w:rsid w:val="00DF7C1C"/>
    <w:rsid w:val="00DF7F98"/>
    <w:rsid w:val="00E0024E"/>
    <w:rsid w:val="00E01A1A"/>
    <w:rsid w:val="00E02959"/>
    <w:rsid w:val="00E04560"/>
    <w:rsid w:val="00E07E2E"/>
    <w:rsid w:val="00E1125E"/>
    <w:rsid w:val="00E1356B"/>
    <w:rsid w:val="00E14816"/>
    <w:rsid w:val="00E15BAD"/>
    <w:rsid w:val="00E15E26"/>
    <w:rsid w:val="00E204E3"/>
    <w:rsid w:val="00E23C5D"/>
    <w:rsid w:val="00E2416F"/>
    <w:rsid w:val="00E30342"/>
    <w:rsid w:val="00E30D99"/>
    <w:rsid w:val="00E32C3F"/>
    <w:rsid w:val="00E33896"/>
    <w:rsid w:val="00E365FB"/>
    <w:rsid w:val="00E37782"/>
    <w:rsid w:val="00E4081C"/>
    <w:rsid w:val="00E42396"/>
    <w:rsid w:val="00E4254B"/>
    <w:rsid w:val="00E43378"/>
    <w:rsid w:val="00E45433"/>
    <w:rsid w:val="00E46219"/>
    <w:rsid w:val="00E47332"/>
    <w:rsid w:val="00E5011C"/>
    <w:rsid w:val="00E5152C"/>
    <w:rsid w:val="00E5292D"/>
    <w:rsid w:val="00E52A0C"/>
    <w:rsid w:val="00E5377B"/>
    <w:rsid w:val="00E53C69"/>
    <w:rsid w:val="00E566D4"/>
    <w:rsid w:val="00E56E0F"/>
    <w:rsid w:val="00E57266"/>
    <w:rsid w:val="00E629B4"/>
    <w:rsid w:val="00E63499"/>
    <w:rsid w:val="00E661B1"/>
    <w:rsid w:val="00E67CDA"/>
    <w:rsid w:val="00E70692"/>
    <w:rsid w:val="00E7096E"/>
    <w:rsid w:val="00E70B21"/>
    <w:rsid w:val="00E72F92"/>
    <w:rsid w:val="00E7346A"/>
    <w:rsid w:val="00E7360F"/>
    <w:rsid w:val="00E73820"/>
    <w:rsid w:val="00E804A3"/>
    <w:rsid w:val="00E80A00"/>
    <w:rsid w:val="00E81FA7"/>
    <w:rsid w:val="00E822D4"/>
    <w:rsid w:val="00E82545"/>
    <w:rsid w:val="00E82549"/>
    <w:rsid w:val="00E84231"/>
    <w:rsid w:val="00E86FC0"/>
    <w:rsid w:val="00E91DA4"/>
    <w:rsid w:val="00E920C6"/>
    <w:rsid w:val="00E940F1"/>
    <w:rsid w:val="00E9707F"/>
    <w:rsid w:val="00EA29D9"/>
    <w:rsid w:val="00EA2A52"/>
    <w:rsid w:val="00EA2E53"/>
    <w:rsid w:val="00EA36B8"/>
    <w:rsid w:val="00EA7094"/>
    <w:rsid w:val="00EA741C"/>
    <w:rsid w:val="00EA78BA"/>
    <w:rsid w:val="00EB01E0"/>
    <w:rsid w:val="00EB2D7D"/>
    <w:rsid w:val="00EC3F48"/>
    <w:rsid w:val="00EC43D8"/>
    <w:rsid w:val="00EC613C"/>
    <w:rsid w:val="00EC6715"/>
    <w:rsid w:val="00ED0001"/>
    <w:rsid w:val="00ED0AD7"/>
    <w:rsid w:val="00ED3308"/>
    <w:rsid w:val="00ED3545"/>
    <w:rsid w:val="00ED40B7"/>
    <w:rsid w:val="00ED484F"/>
    <w:rsid w:val="00ED527D"/>
    <w:rsid w:val="00ED6B9E"/>
    <w:rsid w:val="00EE36F4"/>
    <w:rsid w:val="00EE7CF4"/>
    <w:rsid w:val="00EF0210"/>
    <w:rsid w:val="00EF1F3C"/>
    <w:rsid w:val="00EF4C2B"/>
    <w:rsid w:val="00F00095"/>
    <w:rsid w:val="00F011D9"/>
    <w:rsid w:val="00F04D3D"/>
    <w:rsid w:val="00F075FA"/>
    <w:rsid w:val="00F120F3"/>
    <w:rsid w:val="00F124EF"/>
    <w:rsid w:val="00F12FB6"/>
    <w:rsid w:val="00F142C5"/>
    <w:rsid w:val="00F152A6"/>
    <w:rsid w:val="00F152ED"/>
    <w:rsid w:val="00F17830"/>
    <w:rsid w:val="00F20C12"/>
    <w:rsid w:val="00F23060"/>
    <w:rsid w:val="00F23EA0"/>
    <w:rsid w:val="00F23F81"/>
    <w:rsid w:val="00F24739"/>
    <w:rsid w:val="00F270DD"/>
    <w:rsid w:val="00F273F5"/>
    <w:rsid w:val="00F3313D"/>
    <w:rsid w:val="00F3346A"/>
    <w:rsid w:val="00F33FD0"/>
    <w:rsid w:val="00F340D0"/>
    <w:rsid w:val="00F37488"/>
    <w:rsid w:val="00F378E6"/>
    <w:rsid w:val="00F420D4"/>
    <w:rsid w:val="00F4285E"/>
    <w:rsid w:val="00F43014"/>
    <w:rsid w:val="00F43933"/>
    <w:rsid w:val="00F44797"/>
    <w:rsid w:val="00F45AA8"/>
    <w:rsid w:val="00F46951"/>
    <w:rsid w:val="00F4707C"/>
    <w:rsid w:val="00F536CB"/>
    <w:rsid w:val="00F5722F"/>
    <w:rsid w:val="00F60F69"/>
    <w:rsid w:val="00F65526"/>
    <w:rsid w:val="00F67DCC"/>
    <w:rsid w:val="00F7250F"/>
    <w:rsid w:val="00F72851"/>
    <w:rsid w:val="00F73B82"/>
    <w:rsid w:val="00F74765"/>
    <w:rsid w:val="00F75216"/>
    <w:rsid w:val="00F7533A"/>
    <w:rsid w:val="00F76C21"/>
    <w:rsid w:val="00F77522"/>
    <w:rsid w:val="00F803AC"/>
    <w:rsid w:val="00F8103B"/>
    <w:rsid w:val="00F8145F"/>
    <w:rsid w:val="00F81502"/>
    <w:rsid w:val="00F825E0"/>
    <w:rsid w:val="00F83F86"/>
    <w:rsid w:val="00F85382"/>
    <w:rsid w:val="00F91025"/>
    <w:rsid w:val="00F94766"/>
    <w:rsid w:val="00F94BCB"/>
    <w:rsid w:val="00F94E73"/>
    <w:rsid w:val="00F95343"/>
    <w:rsid w:val="00F964D2"/>
    <w:rsid w:val="00F97630"/>
    <w:rsid w:val="00F977A7"/>
    <w:rsid w:val="00FA033F"/>
    <w:rsid w:val="00FA0DA8"/>
    <w:rsid w:val="00FA1381"/>
    <w:rsid w:val="00FA1632"/>
    <w:rsid w:val="00FA465B"/>
    <w:rsid w:val="00FB0115"/>
    <w:rsid w:val="00FB0E4A"/>
    <w:rsid w:val="00FB1D01"/>
    <w:rsid w:val="00FB38D5"/>
    <w:rsid w:val="00FB5EFB"/>
    <w:rsid w:val="00FB5FCF"/>
    <w:rsid w:val="00FC0182"/>
    <w:rsid w:val="00FC18B1"/>
    <w:rsid w:val="00FC5336"/>
    <w:rsid w:val="00FD0677"/>
    <w:rsid w:val="00FD175C"/>
    <w:rsid w:val="00FD281C"/>
    <w:rsid w:val="00FD36CA"/>
    <w:rsid w:val="00FD3878"/>
    <w:rsid w:val="00FD4BAD"/>
    <w:rsid w:val="00FD5A83"/>
    <w:rsid w:val="00FD7720"/>
    <w:rsid w:val="00FD79B4"/>
    <w:rsid w:val="00FD7C7A"/>
    <w:rsid w:val="00FE0584"/>
    <w:rsid w:val="00FE0E0D"/>
    <w:rsid w:val="00FE12C7"/>
    <w:rsid w:val="00FE29DB"/>
    <w:rsid w:val="00FE2B7F"/>
    <w:rsid w:val="00FE3FA5"/>
    <w:rsid w:val="00FE48C7"/>
    <w:rsid w:val="00FE50BF"/>
    <w:rsid w:val="00FE58BD"/>
    <w:rsid w:val="00FF133F"/>
    <w:rsid w:val="00FF1AAB"/>
    <w:rsid w:val="00FF4728"/>
    <w:rsid w:val="00FF4955"/>
    <w:rsid w:val="00FF5943"/>
    <w:rsid w:val="00FF6577"/>
    <w:rsid w:val="07260393"/>
    <w:rsid w:val="0746095F"/>
    <w:rsid w:val="0797664C"/>
    <w:rsid w:val="11927538"/>
    <w:rsid w:val="1CD44083"/>
    <w:rsid w:val="273C33CE"/>
    <w:rsid w:val="31D47ACB"/>
    <w:rsid w:val="32880BA4"/>
    <w:rsid w:val="392E6561"/>
    <w:rsid w:val="486F624E"/>
    <w:rsid w:val="49E36EF3"/>
    <w:rsid w:val="4E002B5C"/>
    <w:rsid w:val="51E43809"/>
    <w:rsid w:val="533D4603"/>
    <w:rsid w:val="57266709"/>
    <w:rsid w:val="5B590DC3"/>
    <w:rsid w:val="670818F0"/>
    <w:rsid w:val="68940C01"/>
    <w:rsid w:val="74633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24">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widowControl/>
      <w:spacing w:line="288" w:lineRule="auto"/>
      <w:ind w:firstLine="420"/>
      <w:jc w:val="left"/>
    </w:pPr>
    <w:rPr>
      <w:rFonts w:ascii="Arial" w:hAnsi="Arial"/>
      <w:kern w:val="0"/>
      <w:sz w:val="24"/>
      <w:szCs w:val="20"/>
    </w:rPr>
  </w:style>
  <w:style w:type="paragraph" w:styleId="5">
    <w:name w:val="annotation text"/>
    <w:basedOn w:val="1"/>
    <w:qFormat/>
    <w:uiPriority w:val="0"/>
    <w:pPr>
      <w:jc w:val="left"/>
    </w:pPr>
  </w:style>
  <w:style w:type="paragraph" w:styleId="6">
    <w:name w:val="Body Text"/>
    <w:basedOn w:val="1"/>
    <w:next w:val="7"/>
    <w:qFormat/>
    <w:uiPriority w:val="0"/>
    <w:pPr>
      <w:autoSpaceDE w:val="0"/>
      <w:autoSpaceDN w:val="0"/>
      <w:adjustRightInd w:val="0"/>
      <w:spacing w:line="480" w:lineRule="exact"/>
      <w:jc w:val="left"/>
      <w:textAlignment w:val="baseline"/>
    </w:pPr>
    <w:rPr>
      <w:rFonts w:ascii="宋体"/>
      <w:kern w:val="0"/>
      <w:sz w:val="32"/>
      <w:szCs w:val="20"/>
    </w:rPr>
  </w:style>
  <w:style w:type="paragraph" w:styleId="7">
    <w:name w:val="toc 5"/>
    <w:basedOn w:val="1"/>
    <w:next w:val="1"/>
    <w:qFormat/>
    <w:uiPriority w:val="0"/>
    <w:pPr>
      <w:ind w:left="1680" w:leftChars="800"/>
    </w:p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szCs w:val="20"/>
    </w:rPr>
  </w:style>
  <w:style w:type="paragraph" w:styleId="10">
    <w:name w:val="Date"/>
    <w:basedOn w:val="1"/>
    <w:next w:val="1"/>
    <w:qFormat/>
    <w:uiPriority w:val="0"/>
    <w:pPr>
      <w:adjustRightInd w:val="0"/>
      <w:spacing w:line="312" w:lineRule="atLeast"/>
      <w:jc w:val="right"/>
      <w:textAlignment w:val="baseline"/>
    </w:pPr>
    <w:rPr>
      <w:kern w:val="0"/>
      <w:sz w:val="32"/>
      <w:szCs w:val="20"/>
    </w:rPr>
  </w:style>
  <w:style w:type="paragraph" w:styleId="11">
    <w:name w:val="Body Text Indent 2"/>
    <w:basedOn w:val="1"/>
    <w:qFormat/>
    <w:uiPriority w:val="0"/>
    <w:pPr>
      <w:spacing w:after="120" w:line="480" w:lineRule="auto"/>
      <w:ind w:left="420" w:leftChars="200"/>
    </w:pPr>
  </w:style>
  <w:style w:type="paragraph" w:styleId="12">
    <w:name w:val="Balloon Text"/>
    <w:basedOn w:val="1"/>
    <w:semiHidden/>
    <w:qFormat/>
    <w:uiPriority w:val="0"/>
    <w:rPr>
      <w:sz w:val="18"/>
      <w:szCs w:val="18"/>
    </w:rPr>
  </w:style>
  <w:style w:type="paragraph" w:styleId="13">
    <w:name w:val="footer"/>
    <w:basedOn w:val="1"/>
    <w:link w:val="28"/>
    <w:qFormat/>
    <w:uiPriority w:val="99"/>
    <w:pPr>
      <w:tabs>
        <w:tab w:val="center" w:pos="4153"/>
        <w:tab w:val="right" w:pos="8306"/>
      </w:tabs>
      <w:autoSpaceDE w:val="0"/>
      <w:autoSpaceDN w:val="0"/>
      <w:adjustRightInd w:val="0"/>
      <w:jc w:val="left"/>
      <w:textAlignment w:val="baseline"/>
    </w:pPr>
    <w:rPr>
      <w:rFonts w:ascii="宋体"/>
      <w:kern w:val="0"/>
      <w:sz w:val="18"/>
      <w:szCs w:val="20"/>
    </w:rPr>
  </w:style>
  <w:style w:type="paragraph" w:styleId="14">
    <w:name w:val="header"/>
    <w:basedOn w:val="1"/>
    <w:qFormat/>
    <w:uiPriority w:val="0"/>
    <w:pPr>
      <w:pBdr>
        <w:bottom w:val="single" w:color="auto" w:sz="6" w:space="1"/>
      </w:pBdr>
      <w:tabs>
        <w:tab w:val="center" w:pos="4153"/>
        <w:tab w:val="right" w:pos="8306"/>
      </w:tabs>
      <w:autoSpaceDE w:val="0"/>
      <w:autoSpaceDN w:val="0"/>
      <w:adjustRightInd w:val="0"/>
      <w:jc w:val="center"/>
      <w:textAlignment w:val="baseline"/>
    </w:pPr>
    <w:rPr>
      <w:rFonts w:ascii="宋体"/>
      <w:kern w:val="0"/>
      <w:sz w:val="18"/>
      <w:szCs w:val="20"/>
    </w:rPr>
  </w:style>
  <w:style w:type="paragraph" w:styleId="15">
    <w:name w:val="toc 1"/>
    <w:basedOn w:val="1"/>
    <w:next w:val="1"/>
    <w:autoRedefine/>
    <w:semiHidden/>
    <w:qFormat/>
    <w:uiPriority w:val="0"/>
    <w:pPr>
      <w:adjustRightInd w:val="0"/>
      <w:snapToGrid w:val="0"/>
      <w:spacing w:before="120" w:line="360" w:lineRule="auto"/>
      <w:ind w:firstLine="600" w:firstLineChars="200"/>
      <w:jc w:val="left"/>
    </w:pPr>
    <w:rPr>
      <w:rFonts w:ascii="宋体" w:hAnsi="宋体"/>
      <w:color w:val="000000"/>
      <w:sz w:val="30"/>
      <w:szCs w:val="28"/>
    </w:rPr>
  </w:style>
  <w:style w:type="paragraph" w:styleId="16">
    <w:name w:val="Body Text Indent 3"/>
    <w:basedOn w:val="1"/>
    <w:qFormat/>
    <w:uiPriority w:val="0"/>
    <w:pPr>
      <w:spacing w:after="120"/>
      <w:ind w:left="420"/>
    </w:pPr>
    <w:rPr>
      <w:sz w:val="16"/>
      <w:szCs w:val="16"/>
    </w:rPr>
  </w:style>
  <w:style w:type="paragraph" w:styleId="17">
    <w:name w:val="Body Text 2"/>
    <w:basedOn w:val="1"/>
    <w:qFormat/>
    <w:uiPriority w:val="0"/>
    <w:pPr>
      <w:spacing w:after="120" w:line="480" w:lineRule="auto"/>
    </w:p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9">
    <w:name w:val="index 1"/>
    <w:basedOn w:val="1"/>
    <w:next w:val="1"/>
    <w:autoRedefine/>
    <w:semiHidden/>
    <w:qFormat/>
    <w:uiPriority w:val="0"/>
    <w:pPr>
      <w:ind w:right="210" w:rightChars="100" w:firstLine="480" w:firstLineChars="200"/>
    </w:pPr>
    <w:rPr>
      <w:sz w:val="24"/>
    </w:rPr>
  </w:style>
  <w:style w:type="paragraph" w:styleId="20">
    <w:name w:val="index 2"/>
    <w:basedOn w:val="1"/>
    <w:next w:val="1"/>
    <w:autoRedefine/>
    <w:semiHidden/>
    <w:qFormat/>
    <w:uiPriority w:val="0"/>
    <w:pPr>
      <w:numPr>
        <w:ilvl w:val="1"/>
        <w:numId w:val="1"/>
      </w:numPr>
      <w:tabs>
        <w:tab w:val="left" w:pos="540"/>
        <w:tab w:val="clear" w:pos="1800"/>
      </w:tabs>
      <w:spacing w:beforeLines="50" w:afterLines="50"/>
      <w:ind w:left="540" w:hanging="540" w:hangingChars="257"/>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3">
    <w:name w:val="Table Elegant"/>
    <w:basedOn w:val="21"/>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character" w:styleId="25">
    <w:name w:val="page number"/>
    <w:basedOn w:val="24"/>
    <w:qFormat/>
    <w:uiPriority w:val="0"/>
  </w:style>
  <w:style w:type="character" w:styleId="26">
    <w:name w:val="Hyperlink"/>
    <w:basedOn w:val="24"/>
    <w:qFormat/>
    <w:uiPriority w:val="0"/>
    <w:rPr>
      <w:rFonts w:hint="default"/>
      <w:color w:val="3366CC"/>
      <w:u w:val="none"/>
    </w:rPr>
  </w:style>
  <w:style w:type="character" w:customStyle="1" w:styleId="27">
    <w:name w:val="para"/>
    <w:basedOn w:val="24"/>
    <w:qFormat/>
    <w:uiPriority w:val="0"/>
  </w:style>
  <w:style w:type="character" w:customStyle="1" w:styleId="28">
    <w:name w:val="页脚 Char"/>
    <w:basedOn w:val="24"/>
    <w:link w:val="13"/>
    <w:qFormat/>
    <w:locked/>
    <w:uiPriority w:val="99"/>
    <w:rPr>
      <w:rFonts w:ascii="宋体"/>
      <w:sz w:val="18"/>
    </w:rPr>
  </w:style>
  <w:style w:type="paragraph" w:styleId="2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4844</Words>
  <Characters>6283</Characters>
  <Lines>44</Lines>
  <Paragraphs>12</Paragraphs>
  <TotalTime>56</TotalTime>
  <ScaleCrop>false</ScaleCrop>
  <LinksUpToDate>false</LinksUpToDate>
  <CharactersWithSpaces>6296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2021-09-24T03:22:00Z</dcterms:created>
  <dc:creator>dell</dc:creator>
  <cp:lastModifiedBy>Administrator</cp:lastModifiedBy>
  <cp:lastPrinted>2024-12-10T08:03:00Z</cp:lastPrinted>
  <dcterms:modified xsi:type="dcterms:W3CDTF">2024-12-11T06:56:58Z</dcterms:modified>
  <dc:title>竞争性谈判邀请函</dc:title>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84E77A516A3A4489B8F1CB2480F8123C_13</vt:lpwstr>
  </property>
</Properties>
</file>