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W w:w="1045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24"/>
              <w:gridCol w:w="975"/>
              <w:gridCol w:w="1025"/>
              <w:gridCol w:w="938"/>
              <w:gridCol w:w="825"/>
              <w:gridCol w:w="1212"/>
              <w:gridCol w:w="1400"/>
              <w:gridCol w:w="2457"/>
            </w:tblGrid>
            <w:tr w14:paraId="03647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624" w:type="dxa"/>
                  <w:tcBorders>
                    <w:top w:val="single" w:color="000000" w:sz="4" w:space="0"/>
                    <w:left w:val="single" w:color="000000" w:sz="4" w:space="0"/>
                    <w:bottom w:val="single" w:color="000000" w:sz="4" w:space="0"/>
                    <w:right w:val="single" w:color="000000" w:sz="4" w:space="0"/>
                  </w:tcBorders>
                  <w:noWrap/>
                  <w:vAlign w:val="center"/>
                </w:tcPr>
                <w:p w14:paraId="4862CFB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6358564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013099A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938" w:type="dxa"/>
                  <w:tcBorders>
                    <w:top w:val="single" w:color="000000" w:sz="4" w:space="0"/>
                    <w:left w:val="single" w:color="000000" w:sz="4" w:space="0"/>
                    <w:right w:val="single" w:color="000000" w:sz="4" w:space="0"/>
                  </w:tcBorders>
                  <w:noWrap/>
                  <w:vAlign w:val="center"/>
                </w:tcPr>
                <w:p w14:paraId="39BEE7F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9AFA81C">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212" w:type="dxa"/>
                  <w:tcBorders>
                    <w:top w:val="single" w:color="000000" w:sz="4" w:space="0"/>
                    <w:left w:val="single" w:color="000000" w:sz="4" w:space="0"/>
                    <w:right w:val="single" w:color="000000" w:sz="4" w:space="0"/>
                  </w:tcBorders>
                  <w:noWrap/>
                  <w:vAlign w:val="center"/>
                </w:tcPr>
                <w:p w14:paraId="3634855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质保</w:t>
                  </w:r>
                  <w:r>
                    <w:rPr>
                      <w:rFonts w:hint="eastAsia" w:ascii="宋体" w:hAnsi="宋体" w:cs="宋体"/>
                      <w:b/>
                      <w:bCs/>
                      <w:i w:val="0"/>
                      <w:iCs w:val="0"/>
                      <w:color w:val="000000"/>
                      <w:kern w:val="0"/>
                      <w:sz w:val="21"/>
                      <w:szCs w:val="21"/>
                      <w:u w:val="none"/>
                      <w:lang w:val="en-US" w:eastAsia="zh-CN" w:bidi="ar"/>
                    </w:rPr>
                    <w:t>2</w:t>
                  </w:r>
                  <w:r>
                    <w:rPr>
                      <w:rFonts w:hint="eastAsia" w:ascii="宋体" w:hAnsi="宋体" w:eastAsia="宋体" w:cs="宋体"/>
                      <w:b/>
                      <w:bCs/>
                      <w:i w:val="0"/>
                      <w:iCs w:val="0"/>
                      <w:color w:val="000000"/>
                      <w:kern w:val="0"/>
                      <w:sz w:val="21"/>
                      <w:szCs w:val="21"/>
                      <w:u w:val="none"/>
                      <w:lang w:val="en-US" w:eastAsia="zh-CN" w:bidi="ar"/>
                    </w:rPr>
                    <w:t>年的设备</w:t>
                  </w:r>
                  <w:r>
                    <w:rPr>
                      <w:rFonts w:hint="eastAsia" w:ascii="宋体" w:hAnsi="宋体" w:cs="宋体"/>
                      <w:b/>
                      <w:bCs/>
                      <w:i w:val="0"/>
                      <w:iCs w:val="0"/>
                      <w:color w:val="000000"/>
                      <w:kern w:val="0"/>
                      <w:sz w:val="21"/>
                      <w:szCs w:val="21"/>
                      <w:u w:val="none"/>
                      <w:lang w:val="en-US" w:eastAsia="zh-CN" w:bidi="ar"/>
                    </w:rPr>
                    <w:t>报价</w:t>
                  </w:r>
                  <w:r>
                    <w:rPr>
                      <w:rFonts w:hint="eastAsia" w:ascii="宋体" w:hAnsi="宋体" w:eastAsia="宋体" w:cs="宋体"/>
                      <w:b/>
                      <w:bCs/>
                      <w:i w:val="0"/>
                      <w:iCs w:val="0"/>
                      <w:color w:val="000000"/>
                      <w:kern w:val="0"/>
                      <w:sz w:val="21"/>
                      <w:szCs w:val="21"/>
                      <w:u w:val="none"/>
                      <w:lang w:val="en-US" w:eastAsia="zh-CN" w:bidi="ar"/>
                    </w:rPr>
                    <w:t>（万元）</w:t>
                  </w:r>
                </w:p>
              </w:tc>
              <w:tc>
                <w:tcPr>
                  <w:tcW w:w="1400" w:type="dxa"/>
                  <w:tcBorders>
                    <w:top w:val="single" w:color="000000" w:sz="4" w:space="0"/>
                    <w:left w:val="single" w:color="000000" w:sz="4" w:space="0"/>
                    <w:right w:val="single" w:color="000000" w:sz="4" w:space="0"/>
                  </w:tcBorders>
                  <w:noWrap w:val="0"/>
                  <w:vAlign w:val="center"/>
                </w:tcPr>
                <w:p w14:paraId="429BE72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p>
              </w:tc>
              <w:tc>
                <w:tcPr>
                  <w:tcW w:w="2457" w:type="dxa"/>
                  <w:tcBorders>
                    <w:top w:val="single" w:color="000000" w:sz="4" w:space="0"/>
                    <w:left w:val="single" w:color="000000" w:sz="4" w:space="0"/>
                    <w:right w:val="single" w:color="000000" w:sz="4" w:space="0"/>
                  </w:tcBorders>
                  <w:noWrap w:val="0"/>
                  <w:vAlign w:val="center"/>
                </w:tcPr>
                <w:p w14:paraId="624B78C6">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0"/>
                      <w:sz w:val="21"/>
                      <w:szCs w:val="21"/>
                      <w:u w:val="none"/>
                      <w:lang w:val="en-US" w:eastAsia="zh-CN" w:bidi="ar"/>
                    </w:rPr>
                    <w:t>制造商性质</w:t>
                  </w:r>
                </w:p>
              </w:tc>
            </w:tr>
            <w:tr w14:paraId="4944C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624" w:type="dxa"/>
                  <w:tcBorders>
                    <w:top w:val="single" w:color="000000" w:sz="4" w:space="0"/>
                    <w:left w:val="single" w:color="000000" w:sz="4" w:space="0"/>
                    <w:bottom w:val="single" w:color="000000" w:sz="4" w:space="0"/>
                    <w:right w:val="single" w:color="000000" w:sz="4" w:space="0"/>
                  </w:tcBorders>
                  <w:noWrap/>
                  <w:vAlign w:val="center"/>
                </w:tcPr>
                <w:p w14:paraId="712159F1">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DF73330">
                  <w:pPr>
                    <w:jc w:val="cente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161A945C">
                  <w:pPr>
                    <w:jc w:val="center"/>
                    <w:rPr>
                      <w:rFonts w:hint="eastAsia" w:ascii="宋体" w:hAnsi="宋体" w:eastAsia="宋体" w:cs="宋体"/>
                      <w:i w:val="0"/>
                      <w:iCs w:val="0"/>
                      <w:color w:val="000000"/>
                      <w:sz w:val="21"/>
                      <w:szCs w:val="21"/>
                      <w:u w:val="none"/>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17A17100">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A973198">
                  <w:pPr>
                    <w:jc w:val="center"/>
                    <w:rPr>
                      <w:rFonts w:hint="eastAsia" w:ascii="宋体" w:hAnsi="宋体" w:eastAsia="宋体" w:cs="宋体"/>
                      <w:i w:val="0"/>
                      <w:iCs w:val="0"/>
                      <w:color w:val="000000"/>
                      <w:sz w:val="21"/>
                      <w:szCs w:val="21"/>
                      <w:u w:val="none"/>
                    </w:rPr>
                  </w:pP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0FC316E5">
                  <w:pPr>
                    <w:jc w:val="center"/>
                    <w:rPr>
                      <w:rFonts w:hint="eastAsia" w:ascii="宋体" w:hAnsi="宋体" w:eastAsia="宋体" w:cs="宋体"/>
                      <w:i w:val="0"/>
                      <w:iCs w:val="0"/>
                      <w:color w:val="000000"/>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noWrap/>
                  <w:vAlign w:val="center"/>
                </w:tcPr>
                <w:p w14:paraId="39558093">
                  <w:pPr>
                    <w:ind w:right="15" w:rightChars="7"/>
                    <w:jc w:val="center"/>
                    <w:rPr>
                      <w:rFonts w:hint="eastAsia" w:ascii="宋体" w:hAnsi="宋体" w:eastAsia="宋体" w:cs="宋体"/>
                      <w:i w:val="0"/>
                      <w:iCs w:val="0"/>
                      <w:color w:val="000000"/>
                      <w:sz w:val="21"/>
                      <w:szCs w:val="21"/>
                      <w:u w:val="none"/>
                    </w:rPr>
                  </w:pPr>
                </w:p>
              </w:tc>
              <w:tc>
                <w:tcPr>
                  <w:tcW w:w="2457" w:type="dxa"/>
                  <w:tcBorders>
                    <w:top w:val="single" w:color="000000" w:sz="4" w:space="0"/>
                    <w:left w:val="single" w:color="000000" w:sz="4" w:space="0"/>
                    <w:bottom w:val="single" w:color="000000" w:sz="4" w:space="0"/>
                    <w:right w:val="single" w:color="000000" w:sz="4" w:space="0"/>
                  </w:tcBorders>
                  <w:noWrap/>
                  <w:vAlign w:val="center"/>
                </w:tcPr>
                <w:p w14:paraId="3B86579F">
                  <w:pPr>
                    <w:ind w:right="15" w:rightChars="7"/>
                    <w:jc w:val="center"/>
                    <w:rPr>
                      <w:rFonts w:hint="eastAsia" w:ascii="宋体" w:hAnsi="宋体" w:eastAsia="宋体" w:cs="宋体"/>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000000"/>
                      <w:kern w:val="0"/>
                      <w:sz w:val="21"/>
                      <w:szCs w:val="21"/>
                      <w:u w:val="none"/>
                      <w:lang w:val="en-US" w:eastAsia="zh-CN" w:bidi="ar"/>
                    </w:rPr>
                    <w:t>中型</w:t>
                  </w:r>
                  <w:r>
                    <w:rPr>
                      <w:rFonts w:hint="eastAsia" w:ascii="宋体" w:hAnsi="宋体" w:cs="宋体"/>
                      <w:b/>
                      <w:bCs/>
                      <w:i w:val="0"/>
                      <w:iCs w:val="0"/>
                      <w:color w:val="000000"/>
                      <w:kern w:val="0"/>
                      <w:sz w:val="21"/>
                      <w:szCs w:val="21"/>
                      <w:u w:val="none"/>
                      <w:lang w:val="en-US" w:eastAsia="zh-CN" w:bidi="ar"/>
                    </w:rPr>
                    <w:t xml:space="preserve"> □</w:t>
                  </w:r>
                  <w:r>
                    <w:rPr>
                      <w:rFonts w:hint="eastAsia" w:ascii="宋体" w:hAnsi="宋体" w:eastAsia="宋体" w:cs="宋体"/>
                      <w:b/>
                      <w:bCs/>
                      <w:i w:val="0"/>
                      <w:iCs w:val="0"/>
                      <w:color w:val="000000"/>
                      <w:kern w:val="0"/>
                      <w:sz w:val="21"/>
                      <w:szCs w:val="21"/>
                      <w:u w:val="none"/>
                      <w:lang w:val="en-US" w:eastAsia="zh-CN" w:bidi="ar"/>
                    </w:rPr>
                    <w:t>小型</w:t>
                  </w:r>
                  <w:r>
                    <w:rPr>
                      <w:rFonts w:hint="eastAsia" w:ascii="宋体" w:hAnsi="宋体" w:cs="宋体"/>
                      <w:b/>
                      <w:bCs/>
                      <w:i w:val="0"/>
                      <w:iCs w:val="0"/>
                      <w:color w:val="000000"/>
                      <w:kern w:val="0"/>
                      <w:sz w:val="21"/>
                      <w:szCs w:val="21"/>
                      <w:u w:val="none"/>
                      <w:lang w:val="en-US" w:eastAsia="zh-CN" w:bidi="ar"/>
                    </w:rPr>
                    <w:t xml:space="preserve"> □</w:t>
                  </w:r>
                  <w:r>
                    <w:rPr>
                      <w:rFonts w:hint="eastAsia" w:ascii="宋体" w:hAnsi="宋体" w:eastAsia="宋体" w:cs="宋体"/>
                      <w:b/>
                      <w:bCs/>
                      <w:i w:val="0"/>
                      <w:iCs w:val="0"/>
                      <w:color w:val="000000"/>
                      <w:kern w:val="0"/>
                      <w:sz w:val="21"/>
                      <w:szCs w:val="21"/>
                      <w:u w:val="none"/>
                      <w:lang w:val="en-US" w:eastAsia="zh-CN" w:bidi="ar"/>
                    </w:rPr>
                    <w:t>微型</w:t>
                  </w:r>
                </w:p>
              </w:tc>
            </w:tr>
          </w:tbl>
          <w:p w14:paraId="6B83F497">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eastAsia" w:ascii="楷体_GB2312" w:hAnsi="楷体_GB2312" w:eastAsia="楷体_GB2312" w:cs="楷体_GB2312"/>
                <w:b/>
                <w:sz w:val="21"/>
                <w:szCs w:val="21"/>
                <w:u w:val="single"/>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0"/>
              <w:gridCol w:w="1325"/>
              <w:gridCol w:w="1200"/>
              <w:gridCol w:w="925"/>
              <w:gridCol w:w="1150"/>
              <w:gridCol w:w="1038"/>
              <w:gridCol w:w="587"/>
              <w:gridCol w:w="1363"/>
              <w:gridCol w:w="912"/>
              <w:gridCol w:w="1100"/>
            </w:tblGrid>
            <w:tr w14:paraId="5B1B5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40"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25"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优惠供货单价（元）</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通用耗材/专机耗材</w:t>
                  </w:r>
                </w:p>
              </w:tc>
            </w:tr>
            <w:tr w14:paraId="18107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40"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2、耗材成本占收费标准的比率：（耗材成本占收费标准的比率=耗材成本/医疗服务价格*100%）</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rPr>
                  </w:pP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eastAsia" w:ascii="宋体" w:hAnsi="宋体" w:eastAsia="宋体" w:cs="宋体"/>
                      <w:b/>
                      <w:bCs/>
                      <w:i w:val="0"/>
                      <w:iCs w:val="0"/>
                      <w:color w:val="000000"/>
                      <w:sz w:val="21"/>
                      <w:szCs w:val="21"/>
                      <w:u w:val="none"/>
                    </w:rPr>
                  </w:pPr>
                </w:p>
              </w:tc>
            </w:tr>
          </w:tbl>
          <w:p w14:paraId="5D9EC27C">
            <w:pPr>
              <w:numPr>
                <w:ilvl w:val="0"/>
                <w:numId w:val="0"/>
              </w:numPr>
              <w:tabs>
                <w:tab w:val="left" w:pos="780"/>
              </w:tabs>
              <w:spacing w:line="360" w:lineRule="exact"/>
              <w:rPr>
                <w:rFonts w:hint="eastAsia" w:ascii="仿宋" w:hAnsi="仿宋" w:eastAsia="仿宋" w:cs="Times New Roman"/>
                <w:b/>
                <w:bCs/>
                <w:sz w:val="21"/>
                <w:szCs w:val="21"/>
                <w:lang w:val="en-US" w:eastAsia="zh-CN"/>
              </w:rPr>
            </w:pPr>
          </w:p>
          <w:p w14:paraId="04DC4139">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rPr>
                  </w:pP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3、市场占有及销售记录：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000000"/>
                      <w:kern w:val="0"/>
                      <w:sz w:val="21"/>
                      <w:szCs w:val="21"/>
                      <w:u w:val="none"/>
                      <w:lang w:val="en-US" w:eastAsia="zh-CN" w:bidi="ar"/>
                    </w:rPr>
                    <w:t>（万元）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sz w:val="21"/>
                <w:szCs w:val="21"/>
              </w:rPr>
            </w:pPr>
            <w:r>
              <w:rPr>
                <w:rFonts w:hint="eastAsia" w:ascii="仿宋" w:hAnsi="仿宋" w:eastAsia="仿宋"/>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sz w:val="21"/>
                <w:szCs w:val="21"/>
                <w:lang w:val="en-US" w:eastAsia="zh-CN"/>
              </w:rPr>
            </w:pPr>
            <w:r>
              <w:rPr>
                <w:rFonts w:hint="eastAsia" w:ascii="仿宋" w:hAnsi="仿宋" w:eastAsia="仿宋"/>
                <w:sz w:val="21"/>
                <w:szCs w:val="21"/>
                <w:lang w:val="en-US" w:eastAsia="zh-CN"/>
              </w:rPr>
              <w:t>报价时间：</w:t>
            </w:r>
          </w:p>
        </w:tc>
      </w:tr>
    </w:tbl>
    <w:p w14:paraId="698523A1">
      <w:pPr>
        <w:spacing w:line="440" w:lineRule="exact"/>
        <w:jc w:val="both"/>
        <w:rPr>
          <w:rFonts w:hint="eastAsia"/>
          <w:b/>
          <w:bCs/>
          <w:sz w:val="44"/>
          <w:szCs w:val="44"/>
        </w:rPr>
      </w:pPr>
    </w:p>
    <w:p w14:paraId="57205717">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需提供产品资质：</w:t>
      </w:r>
    </w:p>
    <w:p w14:paraId="62238CBE">
      <w:pPr>
        <w:tabs>
          <w:tab w:val="left" w:pos="780"/>
        </w:tabs>
        <w:spacing w:line="360" w:lineRule="exact"/>
        <w:rPr>
          <w:rFonts w:hint="eastAsia" w:ascii="仿宋" w:hAnsi="仿宋" w:eastAsia="仿宋"/>
          <w:b w:val="0"/>
          <w:bCs w:val="0"/>
          <w:color w:val="auto"/>
          <w:sz w:val="21"/>
          <w:szCs w:val="21"/>
          <w:lang w:val="en-US" w:eastAsia="zh-CN"/>
        </w:rPr>
      </w:pP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1</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盖章版市场调研报价信息表</w:t>
      </w:r>
    </w:p>
    <w:p w14:paraId="27D087B8">
      <w:pPr>
        <w:spacing w:line="440" w:lineRule="exact"/>
        <w:jc w:val="both"/>
        <w:rPr>
          <w:rFonts w:hint="eastAsia" w:ascii="仿宋" w:hAnsi="仿宋" w:eastAsia="仿宋"/>
          <w:b w:val="0"/>
          <w:bCs w:val="0"/>
          <w:color w:val="auto"/>
          <w:sz w:val="21"/>
          <w:szCs w:val="21"/>
        </w:rPr>
      </w:pPr>
      <w:r>
        <w:rPr>
          <w:rFonts w:hint="eastAsia" w:ascii="仿宋" w:hAnsi="仿宋" w:eastAsia="仿宋"/>
          <w:b w:val="0"/>
          <w:bCs w:val="0"/>
          <w:color w:val="auto"/>
          <w:sz w:val="21"/>
          <w:szCs w:val="21"/>
          <w:lang w:val="en-US" w:eastAsia="zh-CN"/>
        </w:rPr>
        <w:t>（2）参数偏离情况表</w:t>
      </w:r>
    </w:p>
    <w:p w14:paraId="5DA5075B">
      <w:pPr>
        <w:tabs>
          <w:tab w:val="left" w:pos="780"/>
        </w:tabs>
        <w:spacing w:line="360" w:lineRule="exact"/>
        <w:rPr>
          <w:rFonts w:hint="eastAsia" w:ascii="仿宋" w:hAnsi="仿宋" w:eastAsia="仿宋"/>
          <w:b w:val="0"/>
          <w:bCs w:val="0"/>
          <w:color w:val="auto"/>
          <w:sz w:val="21"/>
          <w:szCs w:val="21"/>
          <w:lang w:val="en-US" w:eastAsia="zh-CN"/>
        </w:rPr>
      </w:pPr>
      <w:r>
        <w:rPr>
          <w:rFonts w:hint="eastAsia" w:ascii="仿宋" w:hAnsi="仿宋" w:eastAsia="仿宋"/>
          <w:b w:val="0"/>
          <w:bCs w:val="0"/>
          <w:color w:val="auto"/>
          <w:sz w:val="21"/>
          <w:szCs w:val="21"/>
          <w:lang w:val="en-US" w:eastAsia="zh-CN"/>
        </w:rPr>
        <w:t>（3）设备的</w:t>
      </w:r>
      <w:r>
        <w:rPr>
          <w:rFonts w:hint="eastAsia" w:ascii="仿宋" w:hAnsi="仿宋" w:eastAsia="仿宋"/>
          <w:b w:val="0"/>
          <w:bCs w:val="0"/>
          <w:color w:val="auto"/>
          <w:sz w:val="21"/>
          <w:szCs w:val="21"/>
        </w:rPr>
        <w:t>医疗器械注册证及其附页或备案凭证及备案信息表（如有）</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1"/>
          <w:szCs w:val="21"/>
          <w:lang w:val="en-US" w:eastAsia="zh-CN"/>
        </w:rPr>
      </w:pP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4</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耗材的</w:t>
      </w:r>
      <w:r>
        <w:rPr>
          <w:rFonts w:hint="eastAsia" w:ascii="仿宋" w:hAnsi="仿宋" w:eastAsia="仿宋"/>
          <w:b w:val="0"/>
          <w:bCs w:val="0"/>
          <w:color w:val="auto"/>
          <w:sz w:val="21"/>
          <w:szCs w:val="21"/>
        </w:rPr>
        <w:t>医疗器械注册证及其附页或备案凭证及备案信息表</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耗材说明书</w:t>
      </w:r>
      <w:r>
        <w:rPr>
          <w:rFonts w:hint="eastAsia" w:ascii="仿宋" w:hAnsi="仿宋" w:eastAsia="仿宋"/>
          <w:b w:val="0"/>
          <w:bCs w:val="0"/>
          <w:color w:val="auto"/>
          <w:sz w:val="21"/>
          <w:szCs w:val="21"/>
        </w:rPr>
        <w:t>（如有）</w:t>
      </w:r>
      <w:r>
        <w:rPr>
          <w:rFonts w:hint="eastAsia" w:ascii="仿宋" w:hAnsi="仿宋" w:eastAsia="仿宋"/>
          <w:b w:val="0"/>
          <w:bCs w:val="0"/>
          <w:color w:val="auto"/>
          <w:sz w:val="21"/>
          <w:szCs w:val="21"/>
          <w:lang w:val="en-US" w:eastAsia="zh-CN"/>
        </w:rPr>
        <w:t>。</w:t>
      </w:r>
    </w:p>
    <w:p w14:paraId="09855D62">
      <w:pPr>
        <w:tabs>
          <w:tab w:val="left" w:pos="780"/>
        </w:tabs>
        <w:spacing w:line="360" w:lineRule="exact"/>
        <w:rPr>
          <w:rFonts w:hint="default" w:ascii="仿宋" w:hAnsi="仿宋" w:eastAsia="仿宋"/>
          <w:b w:val="0"/>
          <w:bCs w:val="0"/>
          <w:color w:val="auto"/>
          <w:sz w:val="21"/>
          <w:szCs w:val="21"/>
          <w:lang w:val="en-US" w:eastAsia="zh-CN"/>
        </w:rPr>
      </w:pPr>
      <w:r>
        <w:rPr>
          <w:rFonts w:hint="eastAsia" w:ascii="仿宋" w:hAnsi="仿宋" w:eastAsia="仿宋"/>
          <w:b w:val="0"/>
          <w:bCs w:val="0"/>
          <w:color w:val="auto"/>
          <w:sz w:val="21"/>
          <w:szCs w:val="21"/>
          <w:lang w:val="en-US" w:eastAsia="zh-CN"/>
        </w:rPr>
        <w:t>（5）</w:t>
      </w:r>
      <w:r>
        <w:rPr>
          <w:rFonts w:hint="eastAsia" w:ascii="仿宋" w:hAnsi="仿宋" w:eastAsia="仿宋"/>
          <w:b w:val="0"/>
          <w:bCs w:val="0"/>
          <w:color w:val="auto"/>
          <w:sz w:val="21"/>
          <w:szCs w:val="21"/>
        </w:rPr>
        <w:t>供应商</w:t>
      </w:r>
      <w:r>
        <w:rPr>
          <w:rFonts w:hint="eastAsia" w:ascii="仿宋" w:hAnsi="仿宋" w:eastAsia="仿宋"/>
          <w:b w:val="0"/>
          <w:bCs w:val="0"/>
          <w:color w:val="auto"/>
          <w:sz w:val="21"/>
          <w:szCs w:val="21"/>
          <w:lang w:val="en-US" w:eastAsia="zh-CN"/>
        </w:rPr>
        <w:t>及厂家</w:t>
      </w:r>
      <w:r>
        <w:rPr>
          <w:rFonts w:hint="eastAsia" w:ascii="仿宋" w:hAnsi="仿宋" w:eastAsia="仿宋"/>
          <w:b w:val="0"/>
          <w:bCs w:val="0"/>
          <w:color w:val="auto"/>
          <w:sz w:val="21"/>
          <w:szCs w:val="21"/>
        </w:rPr>
        <w:t>证件</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营业执照、医疗器械经营许可证/备案凭证、生产许可证、授权书等</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rPr>
        <w:t>。</w:t>
      </w:r>
    </w:p>
    <w:p w14:paraId="395F9F4F">
      <w:pPr>
        <w:spacing w:line="440" w:lineRule="exact"/>
        <w:jc w:val="both"/>
        <w:rPr>
          <w:rFonts w:hint="eastAsia"/>
          <w:b/>
          <w:sz w:val="32"/>
          <w:szCs w:val="32"/>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6656CA3F">
      <w:pPr>
        <w:spacing w:line="440" w:lineRule="exact"/>
        <w:jc w:val="both"/>
        <w:rPr>
          <w:rFonts w:hint="eastAsia"/>
          <w:b/>
          <w:sz w:val="32"/>
          <w:szCs w:val="32"/>
        </w:rPr>
      </w:pPr>
    </w:p>
    <w:p w14:paraId="008E1484">
      <w:pPr>
        <w:spacing w:line="440" w:lineRule="exact"/>
        <w:jc w:val="both"/>
        <w:rPr>
          <w:rFonts w:hint="eastAsia"/>
          <w:b/>
          <w:sz w:val="32"/>
          <w:szCs w:val="32"/>
        </w:rPr>
      </w:pPr>
    </w:p>
    <w:p w14:paraId="4018B57E">
      <w:pPr>
        <w:spacing w:line="440" w:lineRule="exact"/>
        <w:jc w:val="both"/>
        <w:rPr>
          <w:rFonts w:hint="eastAsia"/>
          <w:b/>
          <w:sz w:val="32"/>
          <w:szCs w:val="32"/>
        </w:rPr>
      </w:pPr>
    </w:p>
    <w:p w14:paraId="60BC251B">
      <w:pPr>
        <w:spacing w:line="440" w:lineRule="exact"/>
        <w:jc w:val="both"/>
        <w:rPr>
          <w:rFonts w:hint="eastAsia"/>
          <w:b/>
          <w:sz w:val="32"/>
          <w:szCs w:val="32"/>
        </w:rPr>
      </w:pPr>
    </w:p>
    <w:p w14:paraId="2A650E68">
      <w:pPr>
        <w:spacing w:line="440" w:lineRule="exact"/>
        <w:jc w:val="both"/>
        <w:rPr>
          <w:rFonts w:hint="eastAsia"/>
          <w:b/>
          <w:sz w:val="32"/>
          <w:szCs w:val="32"/>
        </w:rPr>
      </w:pPr>
    </w:p>
    <w:p w14:paraId="040DECAA">
      <w:pPr>
        <w:spacing w:line="440" w:lineRule="exact"/>
        <w:jc w:val="both"/>
        <w:rPr>
          <w:rFonts w:hint="eastAsia"/>
          <w:b/>
          <w:sz w:val="32"/>
          <w:szCs w:val="32"/>
        </w:rPr>
      </w:pPr>
    </w:p>
    <w:p w14:paraId="180E1C26">
      <w:pPr>
        <w:spacing w:line="440" w:lineRule="exact"/>
        <w:jc w:val="both"/>
        <w:rPr>
          <w:rFonts w:hint="eastAsia"/>
          <w:b/>
          <w:sz w:val="32"/>
          <w:szCs w:val="32"/>
        </w:rPr>
      </w:pPr>
    </w:p>
    <w:p w14:paraId="6E90987E">
      <w:pPr>
        <w:spacing w:line="440" w:lineRule="exact"/>
        <w:jc w:val="both"/>
        <w:rPr>
          <w:rFonts w:hint="eastAsia"/>
          <w:b/>
          <w:sz w:val="32"/>
          <w:szCs w:val="32"/>
        </w:rPr>
      </w:pPr>
    </w:p>
    <w:p w14:paraId="529DCEFC">
      <w:pPr>
        <w:spacing w:line="440" w:lineRule="exact"/>
        <w:jc w:val="both"/>
        <w:rPr>
          <w:rFonts w:hint="eastAsia"/>
          <w:b/>
          <w:sz w:val="32"/>
          <w:szCs w:val="32"/>
        </w:rPr>
      </w:pPr>
    </w:p>
    <w:p w14:paraId="46FDF209">
      <w:pPr>
        <w:spacing w:line="440" w:lineRule="exact"/>
        <w:jc w:val="both"/>
        <w:rPr>
          <w:rFonts w:hint="eastAsia"/>
          <w:b/>
          <w:sz w:val="32"/>
          <w:szCs w:val="32"/>
        </w:rPr>
      </w:pPr>
    </w:p>
    <w:p w14:paraId="3ED4C837">
      <w:pPr>
        <w:spacing w:line="440" w:lineRule="exact"/>
        <w:jc w:val="both"/>
        <w:rPr>
          <w:rFonts w:hint="eastAsia"/>
          <w:b/>
          <w:sz w:val="32"/>
          <w:szCs w:val="32"/>
        </w:rPr>
      </w:pPr>
    </w:p>
    <w:p w14:paraId="0F64261B">
      <w:pPr>
        <w:spacing w:line="440" w:lineRule="exact"/>
        <w:jc w:val="both"/>
        <w:rPr>
          <w:rFonts w:hint="eastAsia"/>
          <w:b/>
          <w:sz w:val="32"/>
          <w:szCs w:val="32"/>
        </w:rPr>
      </w:pPr>
    </w:p>
    <w:p w14:paraId="0B0E3AF5">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03585C43">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14:paraId="23DFADCC">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58FD94F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4C65F3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5991DCE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.本文的“质保期”是指中标标的物经约定的验收机构完成验收之日起算，截止中标人承诺的期限。</w:t>
      </w:r>
    </w:p>
    <w:p w14:paraId="2B9D2695">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病人监护仪</w:t>
            </w:r>
          </w:p>
        </w:tc>
        <w:tc>
          <w:tcPr>
            <w:tcW w:w="2268" w:type="dxa"/>
          </w:tcPr>
          <w:p w14:paraId="29F1C94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介入中心</w:t>
            </w:r>
          </w:p>
        </w:tc>
        <w:tc>
          <w:tcPr>
            <w:tcW w:w="2508" w:type="dxa"/>
          </w:tcPr>
          <w:p w14:paraId="5937043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r>
    </w:tbl>
    <w:p w14:paraId="37EC3C7A">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rPr>
        <w:t>核心产品：</w:t>
      </w:r>
      <w:r>
        <w:rPr>
          <w:rFonts w:hint="eastAsia" w:ascii="仿宋" w:hAnsi="仿宋" w:eastAsia="仿宋" w:cs="仿宋"/>
          <w:color w:val="000000" w:themeColor="text1"/>
          <w:sz w:val="24"/>
          <w:lang w:val="en-US" w:eastAsia="zh-CN"/>
        </w:rPr>
        <w:t>病人监护仪</w:t>
      </w:r>
    </w:p>
    <w:p w14:paraId="6E083401">
      <w:pPr>
        <w:spacing w:line="440" w:lineRule="exact"/>
        <w:rPr>
          <w:rFonts w:hint="eastAsia" w:ascii="仿宋" w:hAnsi="仿宋" w:eastAsia="仿宋" w:cs="仿宋"/>
          <w:color w:val="000000" w:themeColor="text1"/>
          <w:sz w:val="24"/>
        </w:rPr>
      </w:pPr>
    </w:p>
    <w:p w14:paraId="01316140">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rPr>
        <w:t>用途</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lang w:val="en-US" w:eastAsia="zh-CN"/>
        </w:rPr>
        <w:t>用于成人、小儿和新生儿的心电，呼吸，无创血压，血氧饱和度，脉搏和双通道体温，有创血压参数监测</w:t>
      </w:r>
    </w:p>
    <w:p w14:paraId="247ACE54">
      <w:pPr>
        <w:spacing w:line="440" w:lineRule="exact"/>
        <w:rPr>
          <w:rFonts w:ascii="仿宋" w:hAnsi="仿宋" w:eastAsia="仿宋" w:cs="仿宋"/>
          <w:b/>
          <w:color w:val="000000" w:themeColor="text1"/>
          <w:sz w:val="24"/>
        </w:rPr>
      </w:pPr>
    </w:p>
    <w:p w14:paraId="426AD8A4">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p w14:paraId="00BA1259">
      <w:pPr>
        <w:pStyle w:val="12"/>
        <w:numPr>
          <w:ilvl w:val="0"/>
          <w:numId w:val="5"/>
        </w:numPr>
        <w:autoSpaceDE w:val="0"/>
        <w:autoSpaceDN w:val="0"/>
        <w:adjustRightInd w:val="0"/>
        <w:spacing w:line="360" w:lineRule="auto"/>
        <w:ind w:firstLineChars="0"/>
        <w:jc w:val="left"/>
        <w:rPr>
          <w:rFonts w:ascii="宋体" w:hAnsi="宋体" w:cs="宋体"/>
          <w:b/>
          <w:color w:val="auto"/>
          <w:kern w:val="0"/>
          <w:szCs w:val="21"/>
        </w:rPr>
      </w:pPr>
      <w:r>
        <w:rPr>
          <w:rFonts w:hint="eastAsia" w:ascii="宋体" w:hAnsi="宋体" w:cs="宋体"/>
          <w:b/>
          <w:color w:val="auto"/>
          <w:kern w:val="0"/>
          <w:szCs w:val="21"/>
        </w:rPr>
        <w:t>整机要求：</w:t>
      </w:r>
    </w:p>
    <w:p w14:paraId="686F05C8">
      <w:pPr>
        <w:pStyle w:val="12"/>
        <w:numPr>
          <w:ilvl w:val="1"/>
          <w:numId w:val="6"/>
        </w:numPr>
        <w:autoSpaceDE w:val="0"/>
        <w:autoSpaceDN w:val="0"/>
        <w:adjustRightInd w:val="0"/>
        <w:spacing w:line="360" w:lineRule="auto"/>
        <w:ind w:firstLineChars="0"/>
        <w:jc w:val="left"/>
        <w:rPr>
          <w:rFonts w:ascii="宋体" w:hAnsi="宋体"/>
          <w:color w:val="auto"/>
          <w:szCs w:val="21"/>
        </w:rPr>
      </w:pPr>
      <w:r>
        <w:rPr>
          <w:rFonts w:hint="eastAsia" w:ascii="宋体" w:hAnsi="宋体" w:eastAsia="宋体" w:cs="宋体"/>
          <w:color w:val="auto"/>
          <w:szCs w:val="21"/>
        </w:rPr>
        <w:t>▲</w:t>
      </w:r>
      <w:r>
        <w:rPr>
          <w:rFonts w:hint="eastAsia" w:ascii="宋体" w:hAnsi="宋体"/>
          <w:color w:val="auto"/>
          <w:szCs w:val="21"/>
        </w:rPr>
        <w:t>模块化监护仪，主机集成内置≥2槽位插件槽，可选配升级IBP，CO2和AG任意参数模块的即插即用快速扩展临床应用。</w:t>
      </w:r>
    </w:p>
    <w:p w14:paraId="42725D66">
      <w:pPr>
        <w:pStyle w:val="12"/>
        <w:numPr>
          <w:ilvl w:val="1"/>
          <w:numId w:val="6"/>
        </w:numPr>
        <w:autoSpaceDE w:val="0"/>
        <w:autoSpaceDN w:val="0"/>
        <w:adjustRightInd w:val="0"/>
        <w:spacing w:line="360" w:lineRule="auto"/>
        <w:ind w:firstLineChars="0"/>
        <w:jc w:val="left"/>
        <w:rPr>
          <w:rFonts w:ascii="宋体" w:hAnsi="宋体"/>
          <w:color w:val="auto"/>
          <w:szCs w:val="21"/>
        </w:rPr>
      </w:pPr>
      <w:r>
        <w:rPr>
          <w:rFonts w:hint="eastAsia" w:ascii="宋体" w:hAnsi="宋体"/>
          <w:color w:val="auto"/>
          <w:szCs w:val="21"/>
        </w:rPr>
        <w:t>监护仪主机（非辅助插件箱）每个槽位均具备插件模块红外通讯接口以及金属硬件通讯接口（非供电接口），保证模块通讯速率及稳定性，提供监护仪主机插槽图片证明。</w:t>
      </w:r>
    </w:p>
    <w:p w14:paraId="648A3956">
      <w:pPr>
        <w:pStyle w:val="12"/>
        <w:numPr>
          <w:ilvl w:val="1"/>
          <w:numId w:val="6"/>
        </w:numPr>
        <w:autoSpaceDE w:val="0"/>
        <w:autoSpaceDN w:val="0"/>
        <w:adjustRightInd w:val="0"/>
        <w:spacing w:line="360" w:lineRule="auto"/>
        <w:ind w:firstLineChars="0"/>
        <w:jc w:val="left"/>
        <w:rPr>
          <w:rFonts w:ascii="宋体" w:hAnsi="宋体"/>
          <w:color w:val="auto"/>
          <w:szCs w:val="21"/>
        </w:rPr>
      </w:pPr>
      <w:r>
        <w:rPr>
          <w:rFonts w:hint="eastAsia" w:ascii="宋体" w:hAnsi="宋体" w:eastAsia="宋体" w:cs="宋体"/>
          <w:color w:val="auto"/>
          <w:szCs w:val="21"/>
        </w:rPr>
        <w:t>▲</w:t>
      </w:r>
      <w:r>
        <w:rPr>
          <w:rFonts w:hint="eastAsia" w:ascii="宋体" w:hAnsi="宋体"/>
          <w:color w:val="auto"/>
          <w:szCs w:val="21"/>
        </w:rPr>
        <w:t>≥12.1英寸彩色液晶屏及电容触摸屏，分辨率≥1280*800像素，≥10通道波形显示。</w:t>
      </w:r>
    </w:p>
    <w:p w14:paraId="4CF7C36B">
      <w:pPr>
        <w:pStyle w:val="12"/>
        <w:numPr>
          <w:ilvl w:val="1"/>
          <w:numId w:val="6"/>
        </w:numPr>
        <w:autoSpaceDE w:val="0"/>
        <w:autoSpaceDN w:val="0"/>
        <w:adjustRightInd w:val="0"/>
        <w:spacing w:line="360" w:lineRule="auto"/>
        <w:ind w:firstLineChars="0"/>
        <w:jc w:val="left"/>
        <w:rPr>
          <w:rFonts w:ascii="宋体" w:hAnsi="宋体"/>
          <w:color w:val="auto"/>
          <w:szCs w:val="21"/>
        </w:rPr>
      </w:pPr>
      <w:r>
        <w:rPr>
          <w:rFonts w:hint="eastAsia" w:ascii="宋体" w:hAnsi="宋体"/>
          <w:color w:val="auto"/>
          <w:szCs w:val="21"/>
        </w:rPr>
        <w:t>显示屏采用宽视角技术，支持170度可视范围，提供彩页</w:t>
      </w:r>
      <w:r>
        <w:rPr>
          <w:rFonts w:hint="eastAsia" w:ascii="宋体" w:hAnsi="宋体"/>
          <w:color w:val="auto"/>
          <w:szCs w:val="21"/>
          <w:lang w:val="en-US" w:eastAsia="zh-CN"/>
        </w:rPr>
        <w:t>等</w:t>
      </w:r>
      <w:r>
        <w:rPr>
          <w:rFonts w:hint="eastAsia" w:ascii="宋体" w:hAnsi="宋体"/>
          <w:color w:val="auto"/>
          <w:szCs w:val="21"/>
        </w:rPr>
        <w:t>证明材料。</w:t>
      </w:r>
    </w:p>
    <w:p w14:paraId="750E5B21">
      <w:pPr>
        <w:pStyle w:val="12"/>
        <w:numPr>
          <w:ilvl w:val="1"/>
          <w:numId w:val="6"/>
        </w:numPr>
        <w:autoSpaceDE w:val="0"/>
        <w:autoSpaceDN w:val="0"/>
        <w:adjustRightInd w:val="0"/>
        <w:spacing w:line="360" w:lineRule="auto"/>
        <w:ind w:firstLineChars="0"/>
        <w:jc w:val="left"/>
        <w:rPr>
          <w:rFonts w:ascii="宋体" w:hAnsi="宋体"/>
          <w:color w:val="auto"/>
          <w:szCs w:val="21"/>
        </w:rPr>
      </w:pPr>
      <w:r>
        <w:rPr>
          <w:rFonts w:hint="eastAsia" w:ascii="宋体" w:hAnsi="宋体" w:eastAsia="宋体" w:cs="宋体"/>
          <w:color w:val="auto"/>
          <w:szCs w:val="21"/>
        </w:rPr>
        <w:t>▲</w:t>
      </w:r>
      <w:r>
        <w:rPr>
          <w:rFonts w:hint="eastAsia" w:ascii="宋体" w:hAnsi="宋体"/>
          <w:color w:val="auto"/>
          <w:szCs w:val="21"/>
        </w:rPr>
        <w:t>内置锂电池，插槽式设计，无需螺丝刀工具支持快速拆卸和安装。锂电池支持监护仪工作时间≥4小时；可选配2块高容量电池，工作时间≥8小时。</w:t>
      </w:r>
    </w:p>
    <w:p w14:paraId="389B82B9">
      <w:pPr>
        <w:pStyle w:val="12"/>
        <w:numPr>
          <w:ilvl w:val="1"/>
          <w:numId w:val="6"/>
        </w:numPr>
        <w:autoSpaceDE w:val="0"/>
        <w:autoSpaceDN w:val="0"/>
        <w:adjustRightInd w:val="0"/>
        <w:spacing w:line="360" w:lineRule="auto"/>
        <w:ind w:firstLineChars="0"/>
        <w:jc w:val="left"/>
        <w:rPr>
          <w:rFonts w:ascii="宋体" w:hAnsi="宋体"/>
          <w:color w:val="auto"/>
          <w:szCs w:val="21"/>
        </w:rPr>
      </w:pPr>
      <w:r>
        <w:rPr>
          <w:rFonts w:hint="eastAsia" w:ascii="宋体" w:hAnsi="宋体"/>
          <w:color w:val="auto"/>
          <w:szCs w:val="21"/>
        </w:rPr>
        <w:t>安全规格：ECG, TEMP, IBP, SpO2 , NIBP监测参数抗电击程度为防除颤CF型。</w:t>
      </w:r>
    </w:p>
    <w:p w14:paraId="7F701224">
      <w:pPr>
        <w:pStyle w:val="12"/>
        <w:numPr>
          <w:ilvl w:val="1"/>
          <w:numId w:val="6"/>
        </w:numPr>
        <w:autoSpaceDE w:val="0"/>
        <w:autoSpaceDN w:val="0"/>
        <w:adjustRightInd w:val="0"/>
        <w:spacing w:line="360" w:lineRule="auto"/>
        <w:ind w:firstLineChars="0"/>
        <w:jc w:val="left"/>
        <w:rPr>
          <w:rFonts w:ascii="宋体" w:hAnsi="宋体"/>
          <w:color w:val="auto"/>
          <w:szCs w:val="21"/>
        </w:rPr>
      </w:pPr>
      <w:r>
        <w:rPr>
          <w:rFonts w:hint="eastAsia" w:ascii="宋体" w:hAnsi="宋体"/>
          <w:color w:val="auto"/>
          <w:szCs w:val="21"/>
        </w:rPr>
        <w:t>监护仪设计使用年限≥10年。</w:t>
      </w:r>
    </w:p>
    <w:p w14:paraId="392D2609">
      <w:pPr>
        <w:pStyle w:val="12"/>
        <w:numPr>
          <w:ilvl w:val="1"/>
          <w:numId w:val="6"/>
        </w:numPr>
        <w:autoSpaceDE w:val="0"/>
        <w:autoSpaceDN w:val="0"/>
        <w:adjustRightInd w:val="0"/>
        <w:spacing w:line="360" w:lineRule="auto"/>
        <w:ind w:firstLineChars="0"/>
        <w:jc w:val="left"/>
        <w:rPr>
          <w:rFonts w:ascii="宋体" w:hAnsi="宋体"/>
          <w:color w:val="auto"/>
          <w:szCs w:val="21"/>
        </w:rPr>
      </w:pPr>
      <w:r>
        <w:rPr>
          <w:rFonts w:hint="eastAsia" w:ascii="宋体" w:hAnsi="宋体"/>
          <w:color w:val="auto"/>
          <w:szCs w:val="21"/>
        </w:rPr>
        <w:t>监护仪主机工作温度环境范围：0~40°C。</w:t>
      </w:r>
    </w:p>
    <w:p w14:paraId="0F9759EE">
      <w:pPr>
        <w:pStyle w:val="12"/>
        <w:numPr>
          <w:ilvl w:val="1"/>
          <w:numId w:val="6"/>
        </w:numPr>
        <w:autoSpaceDE w:val="0"/>
        <w:autoSpaceDN w:val="0"/>
        <w:adjustRightInd w:val="0"/>
        <w:spacing w:line="360" w:lineRule="auto"/>
        <w:ind w:firstLineChars="0"/>
        <w:jc w:val="left"/>
        <w:rPr>
          <w:rFonts w:ascii="宋体" w:hAnsi="宋体" w:cs="宋体"/>
          <w:color w:val="auto"/>
          <w:kern w:val="0"/>
          <w:szCs w:val="21"/>
        </w:rPr>
      </w:pPr>
      <w:r>
        <w:rPr>
          <w:rFonts w:hint="eastAsia" w:ascii="宋体" w:hAnsi="宋体"/>
          <w:color w:val="auto"/>
          <w:szCs w:val="21"/>
        </w:rPr>
        <w:t>监护仪主机工作湿度环境范围；15~95%</w:t>
      </w:r>
    </w:p>
    <w:p w14:paraId="60B3AEB1">
      <w:pPr>
        <w:pStyle w:val="12"/>
        <w:numPr>
          <w:ilvl w:val="1"/>
          <w:numId w:val="6"/>
        </w:numPr>
        <w:autoSpaceDE w:val="0"/>
        <w:autoSpaceDN w:val="0"/>
        <w:adjustRightInd w:val="0"/>
        <w:spacing w:line="360" w:lineRule="auto"/>
        <w:ind w:firstLineChars="0"/>
        <w:jc w:val="left"/>
        <w:rPr>
          <w:rFonts w:ascii="宋体" w:hAnsi="宋体" w:cs="宋体"/>
          <w:color w:val="auto"/>
          <w:kern w:val="0"/>
          <w:szCs w:val="21"/>
        </w:rPr>
      </w:pPr>
      <w:r>
        <w:rPr>
          <w:rFonts w:hint="eastAsia" w:ascii="宋体" w:hAnsi="宋体" w:eastAsia="宋体" w:cs="宋体"/>
          <w:color w:val="auto"/>
          <w:szCs w:val="21"/>
        </w:rPr>
        <w:t>▲</w:t>
      </w:r>
      <w:r>
        <w:rPr>
          <w:rFonts w:hint="eastAsia" w:ascii="宋体" w:hAnsi="宋体" w:cs="宋体"/>
          <w:color w:val="auto"/>
          <w:kern w:val="0"/>
          <w:szCs w:val="21"/>
        </w:rPr>
        <w:t>监护仪</w:t>
      </w:r>
      <w:r>
        <w:rPr>
          <w:rFonts w:hint="eastAsia" w:ascii="宋体" w:hAnsi="宋体" w:cs="宋体"/>
          <w:color w:val="auto"/>
          <w:kern w:val="0"/>
          <w:szCs w:val="21"/>
          <w:lang w:val="en-US" w:eastAsia="zh-CN"/>
        </w:rPr>
        <w:t>带</w:t>
      </w:r>
      <w:r>
        <w:rPr>
          <w:rFonts w:hint="eastAsia" w:ascii="宋体" w:hAnsi="宋体" w:cs="宋体"/>
          <w:color w:val="auto"/>
          <w:kern w:val="0"/>
          <w:szCs w:val="21"/>
        </w:rPr>
        <w:t>有HDMI高清数字信号视频口。</w:t>
      </w:r>
    </w:p>
    <w:p w14:paraId="5BFC5676">
      <w:pPr>
        <w:pStyle w:val="12"/>
        <w:numPr>
          <w:ilvl w:val="0"/>
          <w:numId w:val="5"/>
        </w:numPr>
        <w:autoSpaceDE w:val="0"/>
        <w:autoSpaceDN w:val="0"/>
        <w:adjustRightInd w:val="0"/>
        <w:spacing w:line="360" w:lineRule="auto"/>
        <w:ind w:firstLineChars="0"/>
        <w:jc w:val="left"/>
        <w:rPr>
          <w:rFonts w:ascii="宋体" w:hAnsi="宋体" w:cs="宋体"/>
          <w:b/>
          <w:color w:val="auto"/>
          <w:kern w:val="0"/>
          <w:szCs w:val="21"/>
        </w:rPr>
      </w:pPr>
      <w:r>
        <w:rPr>
          <w:rFonts w:hint="eastAsia" w:ascii="宋体" w:hAnsi="宋体" w:cs="宋体"/>
          <w:b/>
          <w:color w:val="auto"/>
          <w:kern w:val="0"/>
          <w:szCs w:val="21"/>
        </w:rPr>
        <w:t>监测参数：</w:t>
      </w:r>
    </w:p>
    <w:p w14:paraId="1BCB41C7">
      <w:pPr>
        <w:pStyle w:val="12"/>
        <w:numPr>
          <w:ilvl w:val="1"/>
          <w:numId w:val="7"/>
        </w:numPr>
        <w:autoSpaceDE w:val="0"/>
        <w:autoSpaceDN w:val="0"/>
        <w:adjustRightInd w:val="0"/>
        <w:spacing w:line="360" w:lineRule="auto"/>
        <w:ind w:firstLineChars="0"/>
        <w:jc w:val="left"/>
        <w:rPr>
          <w:rFonts w:ascii="宋体" w:hAnsi="宋体"/>
          <w:color w:val="auto"/>
          <w:szCs w:val="21"/>
        </w:rPr>
      </w:pPr>
      <w:r>
        <w:rPr>
          <w:rFonts w:hint="eastAsia" w:ascii="宋体" w:hAnsi="宋体"/>
          <w:color w:val="auto"/>
          <w:szCs w:val="21"/>
        </w:rPr>
        <w:t>配置3/5导心电，呼吸，无创血压，血氧饱和度，脉搏和双通道体温参数监测，以上参数适用于成人、小儿、新生儿患者。</w:t>
      </w:r>
    </w:p>
    <w:p w14:paraId="34C817AF">
      <w:pPr>
        <w:pStyle w:val="12"/>
        <w:numPr>
          <w:ilvl w:val="1"/>
          <w:numId w:val="7"/>
        </w:numPr>
        <w:autoSpaceDE w:val="0"/>
        <w:autoSpaceDN w:val="0"/>
        <w:adjustRightInd w:val="0"/>
        <w:spacing w:line="360" w:lineRule="auto"/>
        <w:ind w:firstLineChars="0"/>
        <w:jc w:val="left"/>
        <w:rPr>
          <w:rFonts w:ascii="宋体" w:hAnsi="宋体"/>
          <w:color w:val="auto"/>
          <w:szCs w:val="21"/>
        </w:rPr>
      </w:pPr>
      <w:r>
        <w:rPr>
          <w:rFonts w:hint="eastAsia" w:ascii="宋体" w:hAnsi="宋体" w:eastAsia="宋体" w:cs="宋体"/>
          <w:color w:val="auto"/>
          <w:szCs w:val="21"/>
        </w:rPr>
        <w:t>▲</w:t>
      </w:r>
      <w:r>
        <w:rPr>
          <w:rFonts w:hint="eastAsia" w:ascii="宋体" w:hAnsi="宋体"/>
          <w:color w:val="auto"/>
          <w:szCs w:val="21"/>
        </w:rPr>
        <w:t>心电监护支持心率，ST段测量，心律失常分析，QT/QTc连续实时测量和对应报警功能。</w:t>
      </w:r>
    </w:p>
    <w:p w14:paraId="7C8A3408">
      <w:pPr>
        <w:pStyle w:val="12"/>
        <w:numPr>
          <w:ilvl w:val="1"/>
          <w:numId w:val="7"/>
        </w:numPr>
        <w:autoSpaceDE w:val="0"/>
        <w:autoSpaceDN w:val="0"/>
        <w:adjustRightInd w:val="0"/>
        <w:spacing w:line="360" w:lineRule="auto"/>
        <w:ind w:firstLineChars="0"/>
        <w:jc w:val="left"/>
        <w:rPr>
          <w:rFonts w:ascii="宋体" w:hAnsi="宋体"/>
          <w:color w:val="auto"/>
          <w:szCs w:val="21"/>
        </w:rPr>
      </w:pPr>
      <w:r>
        <w:rPr>
          <w:rFonts w:hint="eastAsia" w:ascii="宋体" w:hAnsi="宋体"/>
          <w:color w:val="auto"/>
          <w:szCs w:val="21"/>
        </w:rPr>
        <w:t>心电算法通过AHA/MIT-BIH数据库验证。</w:t>
      </w:r>
    </w:p>
    <w:p w14:paraId="025E5595">
      <w:pPr>
        <w:pStyle w:val="12"/>
        <w:numPr>
          <w:ilvl w:val="1"/>
          <w:numId w:val="7"/>
        </w:numPr>
        <w:autoSpaceDE w:val="0"/>
        <w:autoSpaceDN w:val="0"/>
        <w:adjustRightInd w:val="0"/>
        <w:spacing w:line="360" w:lineRule="auto"/>
        <w:ind w:firstLineChars="0"/>
        <w:jc w:val="left"/>
        <w:rPr>
          <w:rFonts w:ascii="宋体" w:hAnsi="宋体"/>
          <w:color w:val="auto"/>
          <w:szCs w:val="21"/>
        </w:rPr>
      </w:pPr>
      <w:r>
        <w:rPr>
          <w:rFonts w:hint="eastAsia" w:ascii="宋体" w:hAnsi="宋体"/>
          <w:color w:val="auto"/>
          <w:szCs w:val="21"/>
        </w:rPr>
        <w:t>提供窗口支持心脏下壁，侧壁和前壁对应多个ST片段的同屏实时显示，提供参考片段和实时片段的对比查看。</w:t>
      </w:r>
    </w:p>
    <w:p w14:paraId="0FE08C11">
      <w:pPr>
        <w:pStyle w:val="12"/>
        <w:numPr>
          <w:ilvl w:val="1"/>
          <w:numId w:val="7"/>
        </w:numPr>
        <w:autoSpaceDE w:val="0"/>
        <w:autoSpaceDN w:val="0"/>
        <w:adjustRightInd w:val="0"/>
        <w:spacing w:line="360" w:lineRule="auto"/>
        <w:ind w:firstLineChars="0"/>
        <w:jc w:val="left"/>
        <w:rPr>
          <w:rFonts w:ascii="宋体" w:hAnsi="宋体"/>
          <w:color w:val="auto"/>
          <w:szCs w:val="21"/>
        </w:rPr>
      </w:pPr>
      <w:r>
        <w:rPr>
          <w:rFonts w:hint="eastAsia" w:ascii="宋体" w:hAnsi="宋体"/>
          <w:color w:val="auto"/>
          <w:szCs w:val="21"/>
        </w:rPr>
        <w:sym w:font="Wingdings 3" w:char="F070"/>
      </w:r>
      <w:r>
        <w:rPr>
          <w:rFonts w:hint="eastAsia" w:ascii="宋体" w:hAnsi="宋体"/>
          <w:color w:val="auto"/>
          <w:szCs w:val="21"/>
        </w:rPr>
        <w:t xml:space="preserve">支持房颤及室上性心律失常分析功能，如：室上性心动过速，SVCs/min等，标配支持≥27种实时心律失常分析 </w:t>
      </w:r>
    </w:p>
    <w:p w14:paraId="1F2CB125">
      <w:pPr>
        <w:pStyle w:val="12"/>
        <w:numPr>
          <w:ilvl w:val="1"/>
          <w:numId w:val="7"/>
        </w:numPr>
        <w:autoSpaceDE w:val="0"/>
        <w:autoSpaceDN w:val="0"/>
        <w:adjustRightInd w:val="0"/>
        <w:spacing w:line="360" w:lineRule="auto"/>
        <w:ind w:firstLineChars="0"/>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QT和QTc实时监测参数测量范围：200～800 ms</w:t>
      </w:r>
    </w:p>
    <w:p w14:paraId="040E97B3">
      <w:pPr>
        <w:pStyle w:val="12"/>
        <w:numPr>
          <w:ilvl w:val="1"/>
          <w:numId w:val="7"/>
        </w:numPr>
        <w:autoSpaceDE w:val="0"/>
        <w:autoSpaceDN w:val="0"/>
        <w:adjustRightInd w:val="0"/>
        <w:spacing w:line="360" w:lineRule="auto"/>
        <w:ind w:firstLineChars="0"/>
        <w:jc w:val="left"/>
        <w:rPr>
          <w:rFonts w:ascii="宋体" w:hAnsi="宋体"/>
          <w:color w:val="auto"/>
          <w:szCs w:val="21"/>
        </w:rPr>
      </w:pPr>
      <w:r>
        <w:rPr>
          <w:rFonts w:hint="eastAsia" w:ascii="宋体" w:hAnsi="宋体"/>
          <w:color w:val="auto"/>
          <w:szCs w:val="21"/>
        </w:rPr>
        <w:t>支持≥3通道心电波形同步分析，可进行多导心电分析</w:t>
      </w:r>
    </w:p>
    <w:p w14:paraId="0F7E9568">
      <w:pPr>
        <w:pStyle w:val="12"/>
        <w:numPr>
          <w:ilvl w:val="1"/>
          <w:numId w:val="7"/>
        </w:numPr>
        <w:autoSpaceDE w:val="0"/>
        <w:autoSpaceDN w:val="0"/>
        <w:adjustRightInd w:val="0"/>
        <w:spacing w:line="360" w:lineRule="auto"/>
        <w:ind w:firstLineChars="0"/>
        <w:jc w:val="left"/>
        <w:rPr>
          <w:rFonts w:ascii="宋体" w:hAnsi="宋体"/>
          <w:color w:val="auto"/>
          <w:szCs w:val="21"/>
        </w:rPr>
      </w:pPr>
      <w:r>
        <w:rPr>
          <w:rFonts w:hint="eastAsia" w:ascii="宋体" w:hAnsi="宋体" w:eastAsia="宋体" w:cs="宋体"/>
          <w:color w:val="auto"/>
          <w:szCs w:val="21"/>
        </w:rPr>
        <w:t>▲</w:t>
      </w:r>
      <w:r>
        <w:rPr>
          <w:rFonts w:hint="eastAsia" w:ascii="宋体" w:hAnsi="宋体"/>
          <w:color w:val="auto"/>
          <w:szCs w:val="21"/>
        </w:rPr>
        <w:t>支持选配升级提供过去24小时心电概览报告查看与打印，包括心率统计结果，心律失常统计结果，ST统计和QT/QTc统计结果。</w:t>
      </w:r>
    </w:p>
    <w:p w14:paraId="3FBA40D4">
      <w:pPr>
        <w:pStyle w:val="12"/>
        <w:numPr>
          <w:ilvl w:val="1"/>
          <w:numId w:val="7"/>
        </w:numPr>
        <w:autoSpaceDE w:val="0"/>
        <w:autoSpaceDN w:val="0"/>
        <w:adjustRightInd w:val="0"/>
        <w:spacing w:line="360" w:lineRule="auto"/>
        <w:ind w:firstLineChars="0"/>
        <w:jc w:val="left"/>
        <w:rPr>
          <w:rFonts w:ascii="宋体" w:hAnsi="宋体"/>
          <w:color w:val="auto"/>
          <w:szCs w:val="21"/>
        </w:rPr>
      </w:pPr>
      <w:r>
        <w:rPr>
          <w:rFonts w:hint="eastAsia" w:ascii="宋体" w:hAnsi="宋体"/>
          <w:color w:val="auto"/>
          <w:szCs w:val="21"/>
        </w:rPr>
        <w:t>提供呼吸测量，适用于成人、小儿和新生儿。呼吸测量范围：0-200 rpm</w:t>
      </w:r>
    </w:p>
    <w:p w14:paraId="2231B6DE">
      <w:pPr>
        <w:pStyle w:val="12"/>
        <w:numPr>
          <w:ilvl w:val="1"/>
          <w:numId w:val="7"/>
        </w:numPr>
        <w:autoSpaceDE w:val="0"/>
        <w:autoSpaceDN w:val="0"/>
        <w:adjustRightInd w:val="0"/>
        <w:spacing w:line="360" w:lineRule="auto"/>
        <w:ind w:firstLineChars="0"/>
        <w:jc w:val="left"/>
        <w:rPr>
          <w:rFonts w:ascii="宋体" w:hAnsi="宋体"/>
          <w:color w:val="auto"/>
          <w:szCs w:val="21"/>
        </w:rPr>
      </w:pPr>
      <w:r>
        <w:rPr>
          <w:rFonts w:hint="eastAsia" w:ascii="宋体" w:hAnsi="宋体"/>
          <w:color w:val="auto"/>
          <w:szCs w:val="21"/>
        </w:rPr>
        <w:t>提供SpO2,PR和PI参数的实时监测，适用于成人，小儿和新生儿。来自SpO2的PR测量范围：20-300</w:t>
      </w:r>
    </w:p>
    <w:p w14:paraId="79A36C2A">
      <w:pPr>
        <w:pStyle w:val="12"/>
        <w:numPr>
          <w:ilvl w:val="1"/>
          <w:numId w:val="7"/>
        </w:numPr>
        <w:autoSpaceDE w:val="0"/>
        <w:autoSpaceDN w:val="0"/>
        <w:adjustRightInd w:val="0"/>
        <w:spacing w:line="360" w:lineRule="auto"/>
        <w:ind w:firstLineChars="0"/>
        <w:jc w:val="left"/>
        <w:rPr>
          <w:rFonts w:ascii="宋体" w:hAnsi="宋体"/>
          <w:color w:val="auto"/>
          <w:szCs w:val="21"/>
        </w:rPr>
      </w:pPr>
      <w:r>
        <w:rPr>
          <w:rFonts w:hint="eastAsia" w:ascii="宋体" w:hAnsi="宋体"/>
          <w:color w:val="auto"/>
          <w:szCs w:val="21"/>
        </w:rPr>
        <w:t>支持指套式血氧探头，IPX7防水等级，支持液体浸泡消毒和清洁。</w:t>
      </w:r>
    </w:p>
    <w:p w14:paraId="7F182302">
      <w:pPr>
        <w:pStyle w:val="12"/>
        <w:numPr>
          <w:ilvl w:val="1"/>
          <w:numId w:val="7"/>
        </w:numPr>
        <w:autoSpaceDE w:val="0"/>
        <w:autoSpaceDN w:val="0"/>
        <w:adjustRightInd w:val="0"/>
        <w:spacing w:line="360" w:lineRule="auto"/>
        <w:ind w:firstLineChars="0"/>
        <w:jc w:val="left"/>
        <w:rPr>
          <w:rFonts w:ascii="宋体" w:hAnsi="宋体"/>
          <w:color w:val="auto"/>
          <w:szCs w:val="21"/>
        </w:rPr>
      </w:pPr>
      <w:r>
        <w:rPr>
          <w:rFonts w:hint="eastAsia" w:ascii="宋体" w:hAnsi="宋体"/>
          <w:color w:val="auto"/>
          <w:szCs w:val="21"/>
        </w:rPr>
        <w:t>配置无创血压测量，适用于成人，小儿和新生儿。无创血压成人测量范围：收缩压</w:t>
      </w:r>
      <w:r>
        <w:rPr>
          <w:rFonts w:ascii="宋体" w:hAnsi="宋体"/>
          <w:color w:val="auto"/>
          <w:szCs w:val="21"/>
        </w:rPr>
        <w:t>25~290mmH</w:t>
      </w:r>
    </w:p>
    <w:p w14:paraId="55F0796C">
      <w:pPr>
        <w:pStyle w:val="12"/>
        <w:numPr>
          <w:ilvl w:val="1"/>
          <w:numId w:val="7"/>
        </w:numPr>
        <w:autoSpaceDE w:val="0"/>
        <w:autoSpaceDN w:val="0"/>
        <w:adjustRightInd w:val="0"/>
        <w:spacing w:line="360" w:lineRule="auto"/>
        <w:ind w:firstLineChars="0"/>
        <w:jc w:val="left"/>
        <w:rPr>
          <w:rFonts w:ascii="宋体" w:hAnsi="宋体"/>
          <w:color w:val="auto"/>
          <w:szCs w:val="21"/>
        </w:rPr>
      </w:pPr>
      <w:r>
        <w:rPr>
          <w:rFonts w:hint="eastAsia" w:ascii="宋体" w:hAnsi="宋体" w:eastAsia="宋体" w:cs="宋体"/>
          <w:color w:val="auto"/>
          <w:szCs w:val="21"/>
        </w:rPr>
        <w:t>▲</w:t>
      </w:r>
      <w:r>
        <w:rPr>
          <w:rFonts w:hint="eastAsia" w:ascii="宋体" w:hAnsi="宋体"/>
          <w:color w:val="auto"/>
          <w:szCs w:val="21"/>
        </w:rPr>
        <w:t>提供手动，自动，连续、序列和整点5种测量模式，并提供24小时动态血压统计结果。</w:t>
      </w:r>
    </w:p>
    <w:p w14:paraId="4440A7E4">
      <w:pPr>
        <w:pStyle w:val="12"/>
        <w:numPr>
          <w:ilvl w:val="1"/>
          <w:numId w:val="7"/>
        </w:numPr>
        <w:autoSpaceDE w:val="0"/>
        <w:autoSpaceDN w:val="0"/>
        <w:adjustRightInd w:val="0"/>
        <w:spacing w:line="360" w:lineRule="auto"/>
        <w:ind w:firstLineChars="0"/>
        <w:jc w:val="left"/>
        <w:rPr>
          <w:rFonts w:ascii="宋体" w:hAnsi="宋体"/>
          <w:color w:val="auto"/>
          <w:szCs w:val="21"/>
        </w:rPr>
      </w:pPr>
      <w:r>
        <w:rPr>
          <w:rFonts w:hint="eastAsia" w:ascii="宋体" w:hAnsi="宋体"/>
          <w:color w:val="auto"/>
          <w:szCs w:val="21"/>
        </w:rPr>
        <w:t>提供双通道体温和温差参数的监测, 并可根据需要更改体温通道标名。</w:t>
      </w:r>
    </w:p>
    <w:p w14:paraId="2B59B7A2">
      <w:pPr>
        <w:pStyle w:val="12"/>
        <w:numPr>
          <w:ilvl w:val="1"/>
          <w:numId w:val="7"/>
        </w:numPr>
        <w:autoSpaceDE w:val="0"/>
        <w:autoSpaceDN w:val="0"/>
        <w:adjustRightInd w:val="0"/>
        <w:spacing w:line="360" w:lineRule="auto"/>
        <w:ind w:firstLineChars="0"/>
        <w:jc w:val="left"/>
        <w:rPr>
          <w:rFonts w:ascii="宋体" w:hAnsi="宋体"/>
          <w:color w:val="auto"/>
          <w:szCs w:val="21"/>
        </w:rPr>
      </w:pPr>
      <w:r>
        <w:rPr>
          <w:rFonts w:hint="eastAsia" w:ascii="宋体" w:hAnsi="宋体"/>
          <w:color w:val="auto"/>
          <w:szCs w:val="21"/>
        </w:rPr>
        <w:t>可选配升级多达4通道有创压监测，动脉压监测时支持同步监测PPV，适用于成人，小儿和新生儿，通过国家三类注册认证。</w:t>
      </w:r>
    </w:p>
    <w:p w14:paraId="4154EFD9">
      <w:pPr>
        <w:pStyle w:val="12"/>
        <w:numPr>
          <w:ilvl w:val="1"/>
          <w:numId w:val="7"/>
        </w:numPr>
        <w:autoSpaceDE w:val="0"/>
        <w:autoSpaceDN w:val="0"/>
        <w:adjustRightInd w:val="0"/>
        <w:spacing w:line="360" w:lineRule="auto"/>
        <w:ind w:firstLineChars="0"/>
        <w:jc w:val="left"/>
        <w:rPr>
          <w:rFonts w:ascii="宋体" w:hAnsi="宋体"/>
          <w:color w:val="auto"/>
          <w:szCs w:val="21"/>
        </w:rPr>
      </w:pPr>
      <w:r>
        <w:rPr>
          <w:rFonts w:hint="eastAsia" w:ascii="宋体" w:hAnsi="宋体"/>
          <w:color w:val="auto"/>
          <w:szCs w:val="21"/>
        </w:rPr>
        <w:t>支持升级主流、旁流EtCO2监测模块，旁流EtCO2监测模块支持升级顺磁氧监测技术进行氧气监测，水槽要求易用快速更换</w:t>
      </w:r>
    </w:p>
    <w:p w14:paraId="728C7029">
      <w:pPr>
        <w:pStyle w:val="12"/>
        <w:numPr>
          <w:ilvl w:val="1"/>
          <w:numId w:val="7"/>
        </w:numPr>
        <w:autoSpaceDE w:val="0"/>
        <w:autoSpaceDN w:val="0"/>
        <w:adjustRightInd w:val="0"/>
        <w:spacing w:line="360" w:lineRule="auto"/>
        <w:ind w:firstLineChars="0"/>
        <w:jc w:val="left"/>
        <w:rPr>
          <w:rFonts w:ascii="宋体" w:hAnsi="宋体"/>
          <w:color w:val="auto"/>
          <w:szCs w:val="21"/>
        </w:rPr>
      </w:pPr>
      <w:r>
        <w:rPr>
          <w:rFonts w:hint="eastAsia" w:ascii="宋体" w:hAnsi="宋体"/>
          <w:color w:val="auto"/>
          <w:szCs w:val="21"/>
        </w:rPr>
        <w:t>提供目标监测界面，能够显示ECG,SpO2,IBP,CO2等多种参数测量值和波形；目标监测界面至少包括目标参数区、参数列表区、目标参数统计区、目标参数趋势区等，目标参数统计区与目标参数趋势区相互联动</w:t>
      </w:r>
    </w:p>
    <w:p w14:paraId="215C742D">
      <w:pPr>
        <w:pStyle w:val="12"/>
        <w:numPr>
          <w:ilvl w:val="1"/>
          <w:numId w:val="7"/>
        </w:numPr>
        <w:autoSpaceDE w:val="0"/>
        <w:autoSpaceDN w:val="0"/>
        <w:adjustRightInd w:val="0"/>
        <w:spacing w:line="360" w:lineRule="auto"/>
        <w:ind w:firstLineChars="0"/>
        <w:jc w:val="left"/>
        <w:rPr>
          <w:rFonts w:ascii="宋体" w:hAnsi="宋体"/>
          <w:color w:val="auto"/>
          <w:szCs w:val="21"/>
        </w:rPr>
      </w:pPr>
      <w:r>
        <w:rPr>
          <w:rFonts w:hint="eastAsia" w:ascii="宋体" w:hAnsi="宋体"/>
          <w:color w:val="auto"/>
          <w:szCs w:val="21"/>
        </w:rPr>
        <w:t>支持选配患者下床移动监护功能，提供医用级穿戴传感器，可监测心电、呼吸、无创血压、血氧饱和度、脉搏参数，穿戴传感器支持健康参数监测，可监测患者睡眠时间、运动时间，支持患者4种状态的识别，包括：睡眠，休息，运动和跌倒，监测数据通过无线发送至监护仪。</w:t>
      </w:r>
    </w:p>
    <w:p w14:paraId="61C1176C">
      <w:pPr>
        <w:pStyle w:val="12"/>
        <w:numPr>
          <w:ilvl w:val="1"/>
          <w:numId w:val="7"/>
        </w:numPr>
        <w:autoSpaceDE w:val="0"/>
        <w:autoSpaceDN w:val="0"/>
        <w:adjustRightInd w:val="0"/>
        <w:spacing w:line="360" w:lineRule="auto"/>
        <w:ind w:firstLineChars="0"/>
        <w:jc w:val="left"/>
        <w:rPr>
          <w:rFonts w:ascii="宋体" w:hAnsi="宋体"/>
          <w:color w:val="auto"/>
          <w:szCs w:val="21"/>
        </w:rPr>
      </w:pPr>
      <w:r>
        <w:rPr>
          <w:rFonts w:hint="eastAsia" w:ascii="宋体" w:hAnsi="宋体"/>
          <w:color w:val="auto"/>
          <w:szCs w:val="21"/>
        </w:rPr>
        <w:t>选配的穿戴模块采用防水抗摔设计，防水等级≥IPX2，支持1.5米跌落不损坏。</w:t>
      </w:r>
    </w:p>
    <w:p w14:paraId="5D4C1AE0">
      <w:pPr>
        <w:pStyle w:val="12"/>
        <w:numPr>
          <w:ilvl w:val="0"/>
          <w:numId w:val="5"/>
        </w:numPr>
        <w:autoSpaceDE w:val="0"/>
        <w:autoSpaceDN w:val="0"/>
        <w:adjustRightInd w:val="0"/>
        <w:spacing w:line="360" w:lineRule="auto"/>
        <w:ind w:firstLineChars="0"/>
        <w:jc w:val="left"/>
        <w:rPr>
          <w:rFonts w:ascii="宋体" w:hAnsi="宋体" w:cs="宋体"/>
          <w:b/>
          <w:color w:val="auto"/>
          <w:kern w:val="0"/>
          <w:szCs w:val="21"/>
        </w:rPr>
      </w:pPr>
      <w:r>
        <w:rPr>
          <w:rFonts w:hint="eastAsia" w:ascii="宋体" w:hAnsi="宋体" w:cs="宋体"/>
          <w:b/>
          <w:color w:val="auto"/>
          <w:kern w:val="0"/>
          <w:szCs w:val="21"/>
        </w:rPr>
        <w:t>系统功能：</w:t>
      </w:r>
    </w:p>
    <w:p w14:paraId="5071A04C">
      <w:pPr>
        <w:pStyle w:val="12"/>
        <w:numPr>
          <w:ilvl w:val="1"/>
          <w:numId w:val="8"/>
        </w:numPr>
        <w:autoSpaceDE w:val="0"/>
        <w:autoSpaceDN w:val="0"/>
        <w:adjustRightInd w:val="0"/>
        <w:spacing w:line="360" w:lineRule="auto"/>
        <w:ind w:firstLineChars="0"/>
        <w:jc w:val="left"/>
        <w:rPr>
          <w:rFonts w:ascii="宋体" w:hAnsi="宋体"/>
          <w:color w:val="auto"/>
          <w:szCs w:val="21"/>
        </w:rPr>
      </w:pPr>
      <w:r>
        <w:rPr>
          <w:rFonts w:hint="eastAsia" w:ascii="宋体" w:hAnsi="宋体" w:eastAsia="宋体" w:cs="宋体"/>
          <w:color w:val="auto"/>
          <w:szCs w:val="21"/>
        </w:rPr>
        <w:t>▲</w:t>
      </w:r>
      <w:r>
        <w:rPr>
          <w:rFonts w:hint="eastAsia" w:ascii="宋体" w:hAnsi="宋体"/>
          <w:color w:val="auto"/>
          <w:szCs w:val="21"/>
        </w:rPr>
        <w:t>支持所有监测参数报警限一键自动设置功能，满足医护团队快速管理患者报警需求，产品用户手册提供报警限自动设置规则。</w:t>
      </w:r>
    </w:p>
    <w:p w14:paraId="0194BC49">
      <w:pPr>
        <w:pStyle w:val="12"/>
        <w:numPr>
          <w:ilvl w:val="1"/>
          <w:numId w:val="8"/>
        </w:numPr>
        <w:autoSpaceDE w:val="0"/>
        <w:autoSpaceDN w:val="0"/>
        <w:adjustRightInd w:val="0"/>
        <w:spacing w:line="360" w:lineRule="auto"/>
        <w:ind w:firstLineChars="0"/>
        <w:jc w:val="left"/>
        <w:rPr>
          <w:rFonts w:ascii="宋体" w:hAnsi="宋体"/>
          <w:color w:val="auto"/>
          <w:szCs w:val="21"/>
        </w:rPr>
      </w:pPr>
      <w:r>
        <w:rPr>
          <w:rFonts w:hint="eastAsia" w:ascii="宋体" w:hAnsi="宋体"/>
          <w:color w:val="auto"/>
          <w:szCs w:val="21"/>
        </w:rPr>
        <w:t>具有图形化技术报警指示功能，帮助医护团队快速识别报警来源。</w:t>
      </w:r>
    </w:p>
    <w:p w14:paraId="35670AEC">
      <w:pPr>
        <w:pStyle w:val="12"/>
        <w:numPr>
          <w:ilvl w:val="1"/>
          <w:numId w:val="8"/>
        </w:numPr>
        <w:autoSpaceDE w:val="0"/>
        <w:autoSpaceDN w:val="0"/>
        <w:adjustRightInd w:val="0"/>
        <w:spacing w:line="360" w:lineRule="auto"/>
        <w:ind w:firstLineChars="0"/>
        <w:jc w:val="left"/>
        <w:rPr>
          <w:rFonts w:ascii="宋体" w:hAnsi="宋体"/>
          <w:color w:val="auto"/>
          <w:szCs w:val="21"/>
        </w:rPr>
      </w:pPr>
      <w:r>
        <w:rPr>
          <w:rFonts w:hint="eastAsia" w:ascii="宋体" w:hAnsi="宋体"/>
          <w:color w:val="auto"/>
          <w:szCs w:val="21"/>
        </w:rPr>
        <w:t>支持≥1000条事件回顾。每条报警事件至少能够存储30秒相关波形，以及报警触发时所有测量参数值。</w:t>
      </w:r>
    </w:p>
    <w:p w14:paraId="04D77402">
      <w:pPr>
        <w:pStyle w:val="12"/>
        <w:numPr>
          <w:ilvl w:val="1"/>
          <w:numId w:val="8"/>
        </w:numPr>
        <w:autoSpaceDE w:val="0"/>
        <w:autoSpaceDN w:val="0"/>
        <w:adjustRightInd w:val="0"/>
        <w:spacing w:line="360" w:lineRule="auto"/>
        <w:ind w:firstLineChars="0"/>
        <w:jc w:val="left"/>
        <w:rPr>
          <w:rFonts w:ascii="宋体" w:hAnsi="宋体"/>
          <w:color w:val="auto"/>
          <w:szCs w:val="21"/>
        </w:rPr>
      </w:pPr>
      <w:r>
        <w:rPr>
          <w:rFonts w:hint="eastAsia" w:ascii="宋体" w:hAnsi="宋体"/>
          <w:color w:val="auto"/>
          <w:szCs w:val="21"/>
        </w:rPr>
        <w:t>支持≥1000组NIBP测量结果的存储与回顾。可选配升级为高容量存储卡，支持3000组NIBP测量</w:t>
      </w:r>
    </w:p>
    <w:p w14:paraId="70ED121C">
      <w:pPr>
        <w:pStyle w:val="12"/>
        <w:numPr>
          <w:ilvl w:val="1"/>
          <w:numId w:val="8"/>
        </w:numPr>
        <w:autoSpaceDE w:val="0"/>
        <w:autoSpaceDN w:val="0"/>
        <w:adjustRightInd w:val="0"/>
        <w:spacing w:line="360" w:lineRule="auto"/>
        <w:ind w:firstLineChars="0"/>
        <w:jc w:val="left"/>
        <w:rPr>
          <w:rFonts w:ascii="宋体" w:hAnsi="宋体"/>
          <w:color w:val="auto"/>
          <w:szCs w:val="21"/>
        </w:rPr>
      </w:pPr>
      <w:r>
        <w:rPr>
          <w:rFonts w:hint="eastAsia" w:ascii="宋体" w:hAnsi="宋体"/>
          <w:color w:val="auto"/>
          <w:szCs w:val="21"/>
        </w:rPr>
        <w:t>支持≥120小时（分辨率1分钟）ST模板存储与回顾</w:t>
      </w:r>
    </w:p>
    <w:p w14:paraId="2848B0B0">
      <w:pPr>
        <w:pStyle w:val="12"/>
        <w:numPr>
          <w:ilvl w:val="1"/>
          <w:numId w:val="8"/>
        </w:numPr>
        <w:autoSpaceDE w:val="0"/>
        <w:autoSpaceDN w:val="0"/>
        <w:adjustRightInd w:val="0"/>
        <w:spacing w:line="360" w:lineRule="auto"/>
        <w:ind w:firstLineChars="0"/>
        <w:jc w:val="left"/>
        <w:rPr>
          <w:rFonts w:ascii="宋体" w:hAnsi="宋体"/>
          <w:color w:val="auto"/>
          <w:szCs w:val="21"/>
        </w:rPr>
      </w:pPr>
      <w:r>
        <w:rPr>
          <w:rFonts w:hint="eastAsia" w:ascii="宋体" w:hAnsi="宋体"/>
          <w:color w:val="auto"/>
          <w:szCs w:val="21"/>
        </w:rPr>
        <w:t>具有报警升级功能，当参数报警经过一定的时间未被处理或伴发了其他报警，就会升级到更高一个级别，提供产品手册截图等证明资料。</w:t>
      </w:r>
    </w:p>
    <w:p w14:paraId="70BC2462">
      <w:pPr>
        <w:pStyle w:val="12"/>
        <w:numPr>
          <w:ilvl w:val="1"/>
          <w:numId w:val="8"/>
        </w:numPr>
        <w:autoSpaceDE w:val="0"/>
        <w:autoSpaceDN w:val="0"/>
        <w:adjustRightInd w:val="0"/>
        <w:spacing w:line="360" w:lineRule="auto"/>
        <w:ind w:firstLineChars="0"/>
        <w:jc w:val="left"/>
        <w:rPr>
          <w:rFonts w:ascii="宋体" w:hAnsi="宋体"/>
          <w:color w:val="auto"/>
          <w:szCs w:val="21"/>
        </w:rPr>
      </w:pPr>
      <w:r>
        <w:rPr>
          <w:rFonts w:hint="eastAsia" w:ascii="宋体" w:hAnsi="宋体"/>
          <w:color w:val="auto"/>
          <w:szCs w:val="21"/>
        </w:rPr>
        <w:t>具有特殊报警音，当监护仪在病人发生致命性参数报警时，发出特殊的报警音进行提示病人处于危急状态。</w:t>
      </w:r>
    </w:p>
    <w:p w14:paraId="1B894873">
      <w:pPr>
        <w:pStyle w:val="12"/>
        <w:numPr>
          <w:ilvl w:val="1"/>
          <w:numId w:val="8"/>
        </w:numPr>
        <w:autoSpaceDE w:val="0"/>
        <w:autoSpaceDN w:val="0"/>
        <w:adjustRightInd w:val="0"/>
        <w:spacing w:line="360" w:lineRule="auto"/>
        <w:ind w:firstLineChars="0"/>
        <w:jc w:val="left"/>
        <w:rPr>
          <w:rFonts w:ascii="宋体" w:hAnsi="宋体"/>
          <w:color w:val="auto"/>
          <w:szCs w:val="21"/>
        </w:rPr>
      </w:pPr>
      <w:r>
        <w:rPr>
          <w:rFonts w:hint="eastAsia" w:ascii="宋体" w:hAnsi="宋体"/>
          <w:color w:val="auto"/>
          <w:szCs w:val="21"/>
        </w:rPr>
        <w:t>支持根据病人的参数趋势变化，可自动推送HR/PR、 SpO2、 RR 等参数的报警限建议。</w:t>
      </w:r>
    </w:p>
    <w:p w14:paraId="103A06DE">
      <w:pPr>
        <w:pStyle w:val="12"/>
        <w:numPr>
          <w:ilvl w:val="1"/>
          <w:numId w:val="8"/>
        </w:numPr>
        <w:autoSpaceDE w:val="0"/>
        <w:autoSpaceDN w:val="0"/>
        <w:adjustRightInd w:val="0"/>
        <w:spacing w:line="360" w:lineRule="auto"/>
        <w:ind w:firstLineChars="0"/>
        <w:jc w:val="left"/>
        <w:rPr>
          <w:rFonts w:ascii="宋体" w:hAnsi="宋体"/>
          <w:color w:val="auto"/>
          <w:szCs w:val="21"/>
        </w:rPr>
      </w:pPr>
      <w:r>
        <w:rPr>
          <w:rFonts w:hint="eastAsia" w:ascii="宋体" w:hAnsi="宋体" w:eastAsia="宋体" w:cs="宋体"/>
          <w:color w:val="auto"/>
          <w:szCs w:val="21"/>
        </w:rPr>
        <w:t>▲</w:t>
      </w:r>
      <w:r>
        <w:rPr>
          <w:rFonts w:hint="eastAsia" w:ascii="宋体" w:hAnsi="宋体"/>
          <w:color w:val="auto"/>
          <w:szCs w:val="21"/>
        </w:rPr>
        <w:t>具备参数组合报警功能，可对患者同时多个参数变化给出统一报警提示，更好地反映病人状态，提供≥10个预设组合报警，并允许自定义≥10个组合报警。</w:t>
      </w:r>
    </w:p>
    <w:p w14:paraId="71C2484F">
      <w:pPr>
        <w:pStyle w:val="12"/>
        <w:numPr>
          <w:ilvl w:val="1"/>
          <w:numId w:val="8"/>
        </w:numPr>
        <w:autoSpaceDE w:val="0"/>
        <w:autoSpaceDN w:val="0"/>
        <w:adjustRightInd w:val="0"/>
        <w:spacing w:line="360" w:lineRule="auto"/>
        <w:ind w:firstLineChars="0"/>
        <w:jc w:val="left"/>
        <w:rPr>
          <w:rFonts w:ascii="宋体" w:hAnsi="宋体"/>
          <w:color w:val="auto"/>
          <w:szCs w:val="21"/>
        </w:rPr>
      </w:pPr>
      <w:r>
        <w:rPr>
          <w:rFonts w:hint="eastAsia" w:ascii="宋体" w:hAnsi="宋体" w:eastAsia="宋体" w:cs="宋体"/>
          <w:color w:val="auto"/>
          <w:szCs w:val="21"/>
        </w:rPr>
        <w:t>▲</w:t>
      </w:r>
      <w:r>
        <w:rPr>
          <w:rFonts w:hint="eastAsia" w:ascii="宋体" w:hAnsi="宋体"/>
          <w:color w:val="auto"/>
          <w:szCs w:val="21"/>
        </w:rPr>
        <w:t>支持RJ45接口进行有线网络通信，和除颤监护仪一起联网通信到中心监护系统。</w:t>
      </w:r>
    </w:p>
    <w:p w14:paraId="048224F1">
      <w:pPr>
        <w:pStyle w:val="12"/>
        <w:numPr>
          <w:ilvl w:val="1"/>
          <w:numId w:val="8"/>
        </w:numPr>
        <w:autoSpaceDE w:val="0"/>
        <w:autoSpaceDN w:val="0"/>
        <w:adjustRightInd w:val="0"/>
        <w:spacing w:line="360" w:lineRule="auto"/>
        <w:ind w:firstLineChars="0"/>
        <w:jc w:val="left"/>
        <w:rPr>
          <w:rFonts w:ascii="宋体" w:hAnsi="宋体"/>
          <w:color w:val="auto"/>
          <w:szCs w:val="21"/>
        </w:rPr>
      </w:pPr>
      <w:r>
        <w:rPr>
          <w:rFonts w:hint="eastAsia" w:ascii="宋体" w:hAnsi="宋体"/>
          <w:color w:val="auto"/>
          <w:szCs w:val="21"/>
        </w:rPr>
        <w:t>配置临床评分系统，包括MEWS（改良早期预警评分）、NEWS（英国早期预警评分系统）、NEWS2（英国早期预警评分系统2），可支持定时自动EWS评分功能，支持动态刷新EWS和EWS报警。</w:t>
      </w:r>
    </w:p>
    <w:p w14:paraId="1356ABDF">
      <w:pPr>
        <w:pStyle w:val="12"/>
        <w:numPr>
          <w:ilvl w:val="1"/>
          <w:numId w:val="8"/>
        </w:numPr>
        <w:autoSpaceDE w:val="0"/>
        <w:autoSpaceDN w:val="0"/>
        <w:adjustRightInd w:val="0"/>
        <w:spacing w:line="360" w:lineRule="auto"/>
        <w:ind w:firstLineChars="0"/>
        <w:jc w:val="left"/>
        <w:rPr>
          <w:rFonts w:ascii="宋体" w:hAnsi="宋体"/>
          <w:color w:val="auto"/>
          <w:szCs w:val="21"/>
        </w:rPr>
      </w:pPr>
      <w:r>
        <w:rPr>
          <w:rFonts w:hint="eastAsia" w:ascii="宋体" w:hAnsi="宋体"/>
          <w:color w:val="auto"/>
          <w:szCs w:val="21"/>
        </w:rPr>
        <w:t>提供计时器功能，界面区提供设置≥4个计时器，每个计时器支持独立设置和计时功能，计时方向包括正计时和倒计时两种选择。</w:t>
      </w:r>
    </w:p>
    <w:p w14:paraId="43BDBDB1">
      <w:pPr>
        <w:pStyle w:val="12"/>
        <w:numPr>
          <w:ilvl w:val="1"/>
          <w:numId w:val="8"/>
        </w:numPr>
        <w:autoSpaceDE w:val="0"/>
        <w:autoSpaceDN w:val="0"/>
        <w:adjustRightInd w:val="0"/>
        <w:spacing w:line="360" w:lineRule="auto"/>
        <w:ind w:firstLineChars="0"/>
        <w:jc w:val="left"/>
        <w:rPr>
          <w:rFonts w:ascii="宋体" w:hAnsi="宋体"/>
          <w:color w:val="auto"/>
          <w:szCs w:val="21"/>
        </w:rPr>
      </w:pPr>
      <w:r>
        <w:rPr>
          <w:rFonts w:hint="eastAsia" w:ascii="宋体" w:hAnsi="宋体"/>
          <w:color w:val="auto"/>
          <w:szCs w:val="21"/>
        </w:rPr>
        <w:t>支持格拉斯哥昏迷评分（GCS）功能</w:t>
      </w:r>
    </w:p>
    <w:p w14:paraId="1FA81B54">
      <w:pPr>
        <w:pStyle w:val="12"/>
        <w:numPr>
          <w:ilvl w:val="1"/>
          <w:numId w:val="8"/>
        </w:numPr>
        <w:autoSpaceDE w:val="0"/>
        <w:autoSpaceDN w:val="0"/>
        <w:adjustRightInd w:val="0"/>
        <w:spacing w:line="360" w:lineRule="auto"/>
        <w:ind w:firstLineChars="0"/>
        <w:jc w:val="left"/>
        <w:rPr>
          <w:rFonts w:ascii="宋体" w:hAnsi="宋体"/>
          <w:color w:val="auto"/>
          <w:szCs w:val="21"/>
        </w:rPr>
      </w:pPr>
      <w:r>
        <w:rPr>
          <w:rFonts w:hint="eastAsia" w:ascii="宋体" w:hAnsi="宋体"/>
          <w:color w:val="auto"/>
          <w:szCs w:val="21"/>
        </w:rPr>
        <w:t>动态趋势界面可支持统计1-24小时心律失常报警、参数超限报警信息，并对超限报警区间的波形进行高亮显示，帮助医护人员快速识别异常趋势信息。</w:t>
      </w:r>
    </w:p>
    <w:p w14:paraId="6A5BD7C5">
      <w:pPr>
        <w:pStyle w:val="12"/>
        <w:numPr>
          <w:ilvl w:val="1"/>
          <w:numId w:val="8"/>
        </w:numPr>
        <w:autoSpaceDE w:val="0"/>
        <w:autoSpaceDN w:val="0"/>
        <w:adjustRightInd w:val="0"/>
        <w:spacing w:line="360" w:lineRule="auto"/>
        <w:ind w:firstLineChars="0"/>
        <w:jc w:val="left"/>
        <w:rPr>
          <w:rFonts w:ascii="宋体" w:hAnsi="宋体"/>
          <w:color w:val="auto"/>
          <w:szCs w:val="21"/>
        </w:rPr>
      </w:pPr>
      <w:r>
        <w:rPr>
          <w:rFonts w:hint="eastAsia" w:ascii="宋体" w:hAnsi="宋体"/>
          <w:color w:val="auto"/>
          <w:szCs w:val="21"/>
        </w:rPr>
        <w:t>支持选配房颤概览功能，可显示当前病人持续 30 秒以上的房颤事件的统计信息和生命体征参数趋势。</w:t>
      </w:r>
    </w:p>
    <w:p w14:paraId="52ECA581">
      <w:pPr>
        <w:pStyle w:val="12"/>
        <w:numPr>
          <w:ilvl w:val="1"/>
          <w:numId w:val="8"/>
        </w:numPr>
        <w:autoSpaceDE w:val="0"/>
        <w:autoSpaceDN w:val="0"/>
        <w:adjustRightInd w:val="0"/>
        <w:spacing w:line="360" w:lineRule="auto"/>
        <w:ind w:firstLineChars="0"/>
        <w:jc w:val="left"/>
        <w:rPr>
          <w:rFonts w:ascii="宋体" w:hAnsi="宋体" w:cs="宋体"/>
          <w:b/>
          <w:color w:val="auto"/>
          <w:kern w:val="0"/>
          <w:szCs w:val="21"/>
        </w:rPr>
      </w:pPr>
      <w:r>
        <w:rPr>
          <w:rFonts w:hint="eastAsia" w:ascii="宋体" w:hAnsi="宋体"/>
          <w:color w:val="auto"/>
          <w:szCs w:val="21"/>
        </w:rPr>
        <w:t>提供屏幕截图功能，将屏幕截图通过USB接口导出到U盘。</w:t>
      </w:r>
    </w:p>
    <w:p w14:paraId="5B198E0B">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751"/>
        <w:gridCol w:w="3873"/>
        <w:gridCol w:w="969"/>
        <w:gridCol w:w="920"/>
      </w:tblGrid>
      <w:tr w14:paraId="212F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A39275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1751" w:type="dxa"/>
          </w:tcPr>
          <w:p w14:paraId="728B52F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3873" w:type="dxa"/>
          </w:tcPr>
          <w:p w14:paraId="42C03E36">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要求</w:t>
            </w:r>
          </w:p>
        </w:tc>
        <w:tc>
          <w:tcPr>
            <w:tcW w:w="969" w:type="dxa"/>
          </w:tcPr>
          <w:p w14:paraId="48670CB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920" w:type="dxa"/>
          </w:tcPr>
          <w:p w14:paraId="0D9EF68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7E45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6CBA77B">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1751" w:type="dxa"/>
          </w:tcPr>
          <w:p w14:paraId="42ECF333">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主机</w:t>
            </w:r>
          </w:p>
        </w:tc>
        <w:tc>
          <w:tcPr>
            <w:tcW w:w="3873" w:type="dxa"/>
          </w:tcPr>
          <w:p w14:paraId="54E0F7C1">
            <w:pPr>
              <w:spacing w:line="440" w:lineRule="exact"/>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带</w:t>
            </w:r>
            <w:r>
              <w:rPr>
                <w:rFonts w:hint="eastAsia" w:ascii="宋体" w:hAnsi="宋体"/>
                <w:color w:val="auto"/>
                <w:szCs w:val="21"/>
              </w:rPr>
              <w:t>≥</w:t>
            </w:r>
            <w:r>
              <w:rPr>
                <w:rFonts w:hint="eastAsia" w:ascii="仿宋" w:hAnsi="仿宋" w:eastAsia="仿宋" w:cs="仿宋"/>
                <w:b/>
                <w:color w:val="000000" w:themeColor="text1"/>
                <w:sz w:val="24"/>
                <w:lang w:val="en-US" w:eastAsia="zh-CN"/>
              </w:rPr>
              <w:t>2槽位，心电、无创血压、血氧、呼吸、脉搏、双体温、有创血压</w:t>
            </w:r>
          </w:p>
        </w:tc>
        <w:tc>
          <w:tcPr>
            <w:tcW w:w="969" w:type="dxa"/>
          </w:tcPr>
          <w:p w14:paraId="73DFF0D8">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76FEFD8C">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台</w:t>
            </w:r>
          </w:p>
        </w:tc>
      </w:tr>
      <w:tr w14:paraId="5343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6006D29">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2</w:t>
            </w:r>
          </w:p>
        </w:tc>
        <w:tc>
          <w:tcPr>
            <w:tcW w:w="1751" w:type="dxa"/>
          </w:tcPr>
          <w:p w14:paraId="31B63238">
            <w:pPr>
              <w:spacing w:line="440" w:lineRule="exact"/>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心电导联线</w:t>
            </w:r>
          </w:p>
        </w:tc>
        <w:tc>
          <w:tcPr>
            <w:tcW w:w="3873" w:type="dxa"/>
          </w:tcPr>
          <w:p w14:paraId="4B81501E">
            <w:pPr>
              <w:spacing w:line="440" w:lineRule="exact"/>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3/5导联，分体式</w:t>
            </w:r>
          </w:p>
        </w:tc>
        <w:tc>
          <w:tcPr>
            <w:tcW w:w="969" w:type="dxa"/>
          </w:tcPr>
          <w:p w14:paraId="358E2F02">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6F4FDCA0">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套</w:t>
            </w:r>
          </w:p>
        </w:tc>
      </w:tr>
      <w:tr w14:paraId="121E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6A4A41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3</w:t>
            </w:r>
          </w:p>
        </w:tc>
        <w:tc>
          <w:tcPr>
            <w:tcW w:w="1751" w:type="dxa"/>
          </w:tcPr>
          <w:p w14:paraId="05C551DB">
            <w:pPr>
              <w:spacing w:line="440" w:lineRule="exact"/>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心电电极片</w:t>
            </w:r>
          </w:p>
        </w:tc>
        <w:tc>
          <w:tcPr>
            <w:tcW w:w="3873" w:type="dxa"/>
          </w:tcPr>
          <w:p w14:paraId="313DC650">
            <w:pPr>
              <w:spacing w:line="440" w:lineRule="exact"/>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5片装</w:t>
            </w:r>
          </w:p>
        </w:tc>
        <w:tc>
          <w:tcPr>
            <w:tcW w:w="969" w:type="dxa"/>
          </w:tcPr>
          <w:p w14:paraId="7F33DB8D">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76CE4BBF">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套</w:t>
            </w:r>
          </w:p>
        </w:tc>
      </w:tr>
      <w:tr w14:paraId="138F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5454EC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4</w:t>
            </w:r>
          </w:p>
        </w:tc>
        <w:tc>
          <w:tcPr>
            <w:tcW w:w="1751" w:type="dxa"/>
          </w:tcPr>
          <w:p w14:paraId="48023CE1">
            <w:pPr>
              <w:spacing w:line="440" w:lineRule="exact"/>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血氧套件</w:t>
            </w:r>
          </w:p>
        </w:tc>
        <w:tc>
          <w:tcPr>
            <w:tcW w:w="3873" w:type="dxa"/>
          </w:tcPr>
          <w:p w14:paraId="6510BE39">
            <w:pPr>
              <w:spacing w:line="440" w:lineRule="exact"/>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血氧主线缆+成人血氧探头</w:t>
            </w:r>
          </w:p>
        </w:tc>
        <w:tc>
          <w:tcPr>
            <w:tcW w:w="969" w:type="dxa"/>
          </w:tcPr>
          <w:p w14:paraId="79422489">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69088D6D">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套</w:t>
            </w:r>
          </w:p>
        </w:tc>
      </w:tr>
      <w:tr w14:paraId="6D8D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8845BD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5</w:t>
            </w:r>
          </w:p>
        </w:tc>
        <w:tc>
          <w:tcPr>
            <w:tcW w:w="1751" w:type="dxa"/>
          </w:tcPr>
          <w:p w14:paraId="7C40CED3">
            <w:pPr>
              <w:spacing w:line="440" w:lineRule="exact"/>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无创血压套件</w:t>
            </w:r>
          </w:p>
        </w:tc>
        <w:tc>
          <w:tcPr>
            <w:tcW w:w="3873" w:type="dxa"/>
          </w:tcPr>
          <w:p w14:paraId="3074865A">
            <w:pPr>
              <w:spacing w:line="440" w:lineRule="exact"/>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导气管+成人血压袖套</w:t>
            </w:r>
          </w:p>
        </w:tc>
        <w:tc>
          <w:tcPr>
            <w:tcW w:w="969" w:type="dxa"/>
          </w:tcPr>
          <w:p w14:paraId="1B42B28A">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5455067C">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套</w:t>
            </w:r>
          </w:p>
        </w:tc>
      </w:tr>
      <w:tr w14:paraId="795A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0B70E97">
            <w:pPr>
              <w:spacing w:line="440" w:lineRule="exact"/>
              <w:jc w:val="center"/>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val="en-US" w:eastAsia="zh-CN"/>
              </w:rPr>
              <w:t>6</w:t>
            </w:r>
          </w:p>
        </w:tc>
        <w:tc>
          <w:tcPr>
            <w:tcW w:w="1751" w:type="dxa"/>
          </w:tcPr>
          <w:p w14:paraId="76C2CDDC">
            <w:pPr>
              <w:spacing w:line="440" w:lineRule="exact"/>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有创血压套件</w:t>
            </w:r>
          </w:p>
        </w:tc>
        <w:tc>
          <w:tcPr>
            <w:tcW w:w="3873" w:type="dxa"/>
          </w:tcPr>
          <w:p w14:paraId="408052FD">
            <w:pPr>
              <w:spacing w:line="440" w:lineRule="exact"/>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有创血压线缆</w:t>
            </w:r>
          </w:p>
        </w:tc>
        <w:tc>
          <w:tcPr>
            <w:tcW w:w="969" w:type="dxa"/>
          </w:tcPr>
          <w:p w14:paraId="591A7588">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714CC57A">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条</w:t>
            </w:r>
          </w:p>
        </w:tc>
      </w:tr>
      <w:tr w14:paraId="0A6B3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C7908DC">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7</w:t>
            </w:r>
          </w:p>
        </w:tc>
        <w:tc>
          <w:tcPr>
            <w:tcW w:w="1751" w:type="dxa"/>
          </w:tcPr>
          <w:p w14:paraId="2F7F3579">
            <w:pPr>
              <w:spacing w:line="440" w:lineRule="exact"/>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电源线</w:t>
            </w:r>
          </w:p>
        </w:tc>
        <w:tc>
          <w:tcPr>
            <w:tcW w:w="3873" w:type="dxa"/>
          </w:tcPr>
          <w:p w14:paraId="1B4602CC">
            <w:pPr>
              <w:spacing w:line="440" w:lineRule="exact"/>
              <w:rPr>
                <w:rFonts w:hint="default" w:ascii="仿宋" w:hAnsi="仿宋" w:eastAsia="仿宋" w:cs="仿宋"/>
                <w:b/>
                <w:color w:val="000000" w:themeColor="text1"/>
                <w:sz w:val="24"/>
                <w:lang w:val="en-US" w:eastAsia="zh-CN"/>
              </w:rPr>
            </w:pPr>
          </w:p>
        </w:tc>
        <w:tc>
          <w:tcPr>
            <w:tcW w:w="969" w:type="dxa"/>
          </w:tcPr>
          <w:p w14:paraId="37D30098">
            <w:pPr>
              <w:spacing w:line="440" w:lineRule="exact"/>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25D97C55">
            <w:pPr>
              <w:spacing w:line="440" w:lineRule="exact"/>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根</w:t>
            </w:r>
          </w:p>
        </w:tc>
      </w:tr>
      <w:tr w14:paraId="3290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B808217">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8</w:t>
            </w:r>
          </w:p>
        </w:tc>
        <w:tc>
          <w:tcPr>
            <w:tcW w:w="1751" w:type="dxa"/>
          </w:tcPr>
          <w:p w14:paraId="19469B75">
            <w:pPr>
              <w:spacing w:line="440" w:lineRule="exact"/>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电池</w:t>
            </w:r>
          </w:p>
        </w:tc>
        <w:tc>
          <w:tcPr>
            <w:tcW w:w="3873" w:type="dxa"/>
          </w:tcPr>
          <w:p w14:paraId="387E16CD">
            <w:pPr>
              <w:spacing w:line="440" w:lineRule="exact"/>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锂电池</w:t>
            </w:r>
          </w:p>
        </w:tc>
        <w:tc>
          <w:tcPr>
            <w:tcW w:w="969" w:type="dxa"/>
          </w:tcPr>
          <w:p w14:paraId="22060F13">
            <w:pPr>
              <w:spacing w:line="440" w:lineRule="exact"/>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28569371">
            <w:pPr>
              <w:spacing w:line="440" w:lineRule="exact"/>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块</w:t>
            </w:r>
          </w:p>
        </w:tc>
      </w:tr>
    </w:tbl>
    <w:p w14:paraId="54D750F4">
      <w:pPr>
        <w:spacing w:line="440" w:lineRule="exact"/>
        <w:rPr>
          <w:rFonts w:ascii="仿宋" w:hAnsi="仿宋" w:eastAsia="仿宋" w:cs="仿宋"/>
          <w:b/>
          <w:color w:val="000000" w:themeColor="text1"/>
          <w:sz w:val="24"/>
        </w:rPr>
      </w:pPr>
    </w:p>
    <w:p w14:paraId="11AD96EA">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751AF881">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775C65E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1C8A269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rPr>
        <w:t>日内完成设备的安装调试。</w:t>
      </w:r>
    </w:p>
    <w:p w14:paraId="27D3BB04">
      <w:pPr>
        <w:spacing w:line="440" w:lineRule="exact"/>
        <w:rPr>
          <w:rFonts w:hint="eastAsia" w:ascii="仿宋" w:hAnsi="仿宋" w:eastAsia="仿宋" w:cs="仿宋"/>
          <w:color w:val="000000" w:themeColor="text1"/>
          <w:sz w:val="24"/>
          <w:highlight w:val="yellow"/>
          <w:lang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highlight w:val="yellow"/>
          <w:lang w:val="en-US" w:eastAsia="zh-CN"/>
        </w:rPr>
        <w:t>且原装进口产品生产日期与交货日期差值≤6个月；国产产品生产日期与交货日期差值≤3个月。（按项目调整，进口最长不超1年，国产半年）</w:t>
      </w:r>
    </w:p>
    <w:p w14:paraId="33B4285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14:paraId="37607C9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bookmarkStart w:id="0" w:name="_GoBack"/>
      <w:bookmarkEnd w:id="0"/>
    </w:p>
    <w:p w14:paraId="71BBED5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2B351F45">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0FB525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★2.2中标供应商须提供设备原厂质保（设备原厂质量保修范围和保修期）至少为</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年。</w:t>
      </w:r>
    </w:p>
    <w:p w14:paraId="34C701E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64958E8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5ED331B0">
      <w:pPr>
        <w:spacing w:line="440" w:lineRule="exact"/>
        <w:rPr>
          <w:rFonts w:ascii="仿宋" w:hAnsi="仿宋" w:eastAsia="仿宋" w:cs="仿宋"/>
          <w:b/>
          <w:color w:val="000000" w:themeColor="text1"/>
          <w:sz w:val="24"/>
        </w:rPr>
      </w:pPr>
    </w:p>
    <w:p w14:paraId="5BC1A48F">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2B3E117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0C995C91">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1BE3E546">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4C1E8C7A">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w:t>
      </w:r>
      <w:r>
        <w:rPr>
          <w:rFonts w:hint="eastAsia" w:ascii="仿宋" w:hAnsi="仿宋" w:eastAsia="仿宋" w:cs="仿宋"/>
          <w:color w:val="000000" w:themeColor="text1"/>
          <w:sz w:val="24"/>
          <w:lang w:val="en-US" w:eastAsia="zh-CN"/>
        </w:rPr>
        <w:t>9</w:t>
      </w:r>
      <w:r>
        <w:rPr>
          <w:rFonts w:hint="eastAsia" w:ascii="仿宋" w:hAnsi="仿宋" w:eastAsia="仿宋" w:cs="仿宋"/>
          <w:color w:val="000000" w:themeColor="text1"/>
          <w:sz w:val="24"/>
        </w:rPr>
        <w:t>5%；合同总金额的5%</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lang w:val="en-US" w:eastAsia="zh-CN"/>
        </w:rPr>
        <w:t>作为第二期款项，</w:t>
      </w:r>
      <w:r>
        <w:rPr>
          <w:rFonts w:hint="eastAsia" w:ascii="仿宋" w:hAnsi="仿宋" w:eastAsia="仿宋" w:cs="仿宋"/>
          <w:color w:val="000000" w:themeColor="text1"/>
          <w:sz w:val="24"/>
        </w:rPr>
        <w:t>在</w:t>
      </w:r>
      <w:r>
        <w:rPr>
          <w:rFonts w:hint="eastAsia" w:ascii="仿宋" w:hAnsi="仿宋" w:eastAsia="仿宋" w:cs="仿宋"/>
          <w:color w:val="000000" w:themeColor="text1"/>
          <w:sz w:val="24"/>
          <w:highlight w:val="yellow"/>
          <w:u w:val="single"/>
          <w:lang w:val="en-US" w:eastAsia="zh-CN"/>
        </w:rPr>
        <w:t xml:space="preserve"> 质保期满</w:t>
      </w:r>
      <w:r>
        <w:rPr>
          <w:rFonts w:hint="eastAsia" w:ascii="仿宋" w:hAnsi="仿宋" w:eastAsia="仿宋" w:cs="仿宋"/>
          <w:color w:val="000000" w:themeColor="text1"/>
          <w:sz w:val="24"/>
        </w:rPr>
        <w:t>后一次性无息</w:t>
      </w:r>
      <w:r>
        <w:rPr>
          <w:rFonts w:hint="eastAsia" w:ascii="仿宋" w:hAnsi="仿宋" w:eastAsia="仿宋" w:cs="仿宋"/>
          <w:color w:val="000000" w:themeColor="text1"/>
          <w:sz w:val="24"/>
          <w:lang w:val="en-US" w:eastAsia="zh-CN"/>
        </w:rPr>
        <w:t>支付</w:t>
      </w:r>
      <w:r>
        <w:rPr>
          <w:rFonts w:hint="eastAsia" w:ascii="仿宋" w:hAnsi="仿宋" w:eastAsia="仿宋" w:cs="仿宋"/>
          <w:color w:val="000000" w:themeColor="text1"/>
          <w:sz w:val="24"/>
        </w:rPr>
        <w:t>。</w:t>
      </w:r>
    </w:p>
    <w:p w14:paraId="0751A881">
      <w:pPr>
        <w:spacing w:line="440" w:lineRule="exact"/>
      </w:pPr>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61007A87" w:usb1="80000000" w:usb2="00000008" w:usb3="00000000" w:csb0="200101FF" w:csb1="20280000"/>
  </w:font>
  <w:font w:name="Wingdings 3">
    <w:panose1 w:val="050401020108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abstractNum w:abstractNumId="4">
    <w:nsid w:val="42FD26DD"/>
    <w:multiLevelType w:val="multilevel"/>
    <w:tmpl w:val="42FD26DD"/>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5">
    <w:nsid w:val="5FD9601D"/>
    <w:multiLevelType w:val="multilevel"/>
    <w:tmpl w:val="5FD9601D"/>
    <w:lvl w:ilvl="0" w:tentative="0">
      <w:start w:val="2"/>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63E33849"/>
    <w:multiLevelType w:val="multilevel"/>
    <w:tmpl w:val="63E33849"/>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6A5B7B36"/>
    <w:multiLevelType w:val="multilevel"/>
    <w:tmpl w:val="6A5B7B36"/>
    <w:lvl w:ilvl="0" w:tentative="0">
      <w:start w:val="3"/>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3"/>
  </w:num>
  <w:num w:numId="3">
    <w:abstractNumId w:val="1"/>
  </w:num>
  <w:num w:numId="4">
    <w:abstractNumId w:val="2"/>
  </w:num>
  <w:num w:numId="5">
    <w:abstractNumId w:val="4"/>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7620875"/>
    <w:rsid w:val="0A1B12A5"/>
    <w:rsid w:val="0A7B32AF"/>
    <w:rsid w:val="0B983A11"/>
    <w:rsid w:val="0C583667"/>
    <w:rsid w:val="0D55237A"/>
    <w:rsid w:val="0EDA5F4A"/>
    <w:rsid w:val="11215D00"/>
    <w:rsid w:val="116F5E3C"/>
    <w:rsid w:val="11BE7D21"/>
    <w:rsid w:val="125151D8"/>
    <w:rsid w:val="1264085D"/>
    <w:rsid w:val="13092ED6"/>
    <w:rsid w:val="132A2049"/>
    <w:rsid w:val="137C3E61"/>
    <w:rsid w:val="152E75A3"/>
    <w:rsid w:val="15D67E1A"/>
    <w:rsid w:val="15DD12EB"/>
    <w:rsid w:val="15FB5391"/>
    <w:rsid w:val="16667C55"/>
    <w:rsid w:val="16AC3025"/>
    <w:rsid w:val="18197B20"/>
    <w:rsid w:val="182F3FFC"/>
    <w:rsid w:val="184F47E9"/>
    <w:rsid w:val="195B4CD4"/>
    <w:rsid w:val="19F434AB"/>
    <w:rsid w:val="19F46800"/>
    <w:rsid w:val="1A4E463B"/>
    <w:rsid w:val="1AC04D91"/>
    <w:rsid w:val="1B480550"/>
    <w:rsid w:val="1B9B3432"/>
    <w:rsid w:val="1C125497"/>
    <w:rsid w:val="1C5D648C"/>
    <w:rsid w:val="20372DFC"/>
    <w:rsid w:val="206831B1"/>
    <w:rsid w:val="22D309D5"/>
    <w:rsid w:val="23683A18"/>
    <w:rsid w:val="23E7584F"/>
    <w:rsid w:val="258D2337"/>
    <w:rsid w:val="268A1BB3"/>
    <w:rsid w:val="28BF1285"/>
    <w:rsid w:val="2A885D27"/>
    <w:rsid w:val="2AA33888"/>
    <w:rsid w:val="2CAA0DDE"/>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6A42C8E"/>
    <w:rsid w:val="37BF4C02"/>
    <w:rsid w:val="397337AD"/>
    <w:rsid w:val="39AD7AFB"/>
    <w:rsid w:val="3A242BD4"/>
    <w:rsid w:val="3A9C4E16"/>
    <w:rsid w:val="3B150E18"/>
    <w:rsid w:val="3B856185"/>
    <w:rsid w:val="3BBF220E"/>
    <w:rsid w:val="3C5A7ECD"/>
    <w:rsid w:val="3C8138D7"/>
    <w:rsid w:val="3C963008"/>
    <w:rsid w:val="3CF8165C"/>
    <w:rsid w:val="3D961009"/>
    <w:rsid w:val="3E1A0157"/>
    <w:rsid w:val="3F196F49"/>
    <w:rsid w:val="407E146F"/>
    <w:rsid w:val="40C43099"/>
    <w:rsid w:val="41B0738E"/>
    <w:rsid w:val="42E42773"/>
    <w:rsid w:val="434A3516"/>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4C41E6B"/>
    <w:rsid w:val="562C6AB3"/>
    <w:rsid w:val="56AB1A08"/>
    <w:rsid w:val="59480742"/>
    <w:rsid w:val="5B06785A"/>
    <w:rsid w:val="5B576610"/>
    <w:rsid w:val="5C9522CF"/>
    <w:rsid w:val="5CEB018E"/>
    <w:rsid w:val="5D1761F3"/>
    <w:rsid w:val="5D4446FE"/>
    <w:rsid w:val="5EC71180"/>
    <w:rsid w:val="5F580C6B"/>
    <w:rsid w:val="5F8F08C0"/>
    <w:rsid w:val="5FA44E0F"/>
    <w:rsid w:val="5FE15E62"/>
    <w:rsid w:val="60122426"/>
    <w:rsid w:val="60182200"/>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3C966C4"/>
    <w:rsid w:val="7547180C"/>
    <w:rsid w:val="78EF7DAC"/>
    <w:rsid w:val="79070A07"/>
    <w:rsid w:val="79907C4E"/>
    <w:rsid w:val="79A3457A"/>
    <w:rsid w:val="7A903C7E"/>
    <w:rsid w:val="7AFB2199"/>
    <w:rsid w:val="7B47043A"/>
    <w:rsid w:val="7B4C229B"/>
    <w:rsid w:val="7B69139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1266</Words>
  <Characters>1297</Characters>
  <Lines>5</Lines>
  <Paragraphs>1</Paragraphs>
  <TotalTime>0</TotalTime>
  <ScaleCrop>false</ScaleCrop>
  <LinksUpToDate>false</LinksUpToDate>
  <CharactersWithSpaces>1340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Francie_Mak</cp:lastModifiedBy>
  <dcterms:modified xsi:type="dcterms:W3CDTF">2025-01-07T07:11:51Z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eyJoZGlkIjoiOWYxZDQzYjgzYjkzNTUwYWVmYTAyNDM3MGRjMjQ1NWYiLCJ1c2VySWQiOiI5NTU3MjQ1NzEifQ==</vt:lpwstr>
  </property>
</Properties>
</file>