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FF0000"/>
                      <w:kern w:val="0"/>
                      <w:sz w:val="21"/>
                      <w:szCs w:val="21"/>
                      <w:u w:val="none"/>
                      <w:lang w:val="en-US" w:eastAsia="zh-CN" w:bidi="ar"/>
                    </w:rPr>
                    <w:t>（元）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000000"/>
                      <w:kern w:val="0"/>
                      <w:sz w:val="21"/>
                      <w:szCs w:val="21"/>
                      <w:u w:val="none"/>
                      <w:lang w:val="en-US" w:eastAsia="zh-CN" w:bidi="ar"/>
                    </w:rPr>
                    <w:t>（万元）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3B83E176">
      <w:pPr>
        <w:spacing w:line="440" w:lineRule="exact"/>
        <w:jc w:val="both"/>
        <w:rPr>
          <w:rFonts w:hint="eastAsia"/>
          <w:b/>
          <w:sz w:val="32"/>
          <w:szCs w:val="32"/>
        </w:rPr>
      </w:pPr>
    </w:p>
    <w:p w14:paraId="1ABE1F3A">
      <w:pPr>
        <w:spacing w:line="440" w:lineRule="exact"/>
        <w:jc w:val="both"/>
        <w:rPr>
          <w:rFonts w:hint="eastAsia"/>
          <w:b/>
          <w:sz w:val="32"/>
          <w:szCs w:val="32"/>
        </w:rPr>
      </w:pPr>
    </w:p>
    <w:p w14:paraId="450C13CF">
      <w:pPr>
        <w:spacing w:line="440" w:lineRule="exact"/>
        <w:jc w:val="both"/>
        <w:rPr>
          <w:rFonts w:hint="eastAsia"/>
          <w:b/>
          <w:sz w:val="32"/>
          <w:szCs w:val="32"/>
        </w:rPr>
      </w:pPr>
      <w:bookmarkStart w:id="0" w:name="_GoBack"/>
      <w:bookmarkEnd w:id="0"/>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0"/>
        <w:tblW w:w="7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121"/>
        <w:gridCol w:w="1300"/>
        <w:gridCol w:w="2024"/>
      </w:tblGrid>
      <w:tr w14:paraId="080E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03" w:type="dxa"/>
            <w:shd w:val="clear" w:color="auto" w:fill="auto"/>
            <w:vAlign w:val="top"/>
          </w:tcPr>
          <w:p w14:paraId="15D6B59C">
            <w:pPr>
              <w:spacing w:line="440" w:lineRule="exact"/>
              <w:jc w:val="cente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项目名称</w:t>
            </w:r>
          </w:p>
        </w:tc>
        <w:tc>
          <w:tcPr>
            <w:tcW w:w="2121" w:type="dxa"/>
            <w:shd w:val="clear" w:color="auto" w:fill="auto"/>
            <w:vAlign w:val="top"/>
          </w:tcPr>
          <w:p w14:paraId="67829918">
            <w:pPr>
              <w:spacing w:line="440" w:lineRule="exact"/>
              <w:jc w:val="center"/>
              <w:rPr>
                <w:rFonts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需求科室/部门</w:t>
            </w:r>
          </w:p>
        </w:tc>
        <w:tc>
          <w:tcPr>
            <w:tcW w:w="1300" w:type="dxa"/>
            <w:shd w:val="clear" w:color="auto" w:fill="auto"/>
            <w:vAlign w:val="top"/>
          </w:tcPr>
          <w:p w14:paraId="4BACD20E">
            <w:pPr>
              <w:spacing w:line="440" w:lineRule="exact"/>
              <w:jc w:val="center"/>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sz w:val="24"/>
              </w:rPr>
              <w:t>数量（套）</w:t>
            </w:r>
          </w:p>
        </w:tc>
        <w:tc>
          <w:tcPr>
            <w:tcW w:w="2024" w:type="dxa"/>
            <w:shd w:val="clear" w:color="auto" w:fill="auto"/>
            <w:vAlign w:val="top"/>
          </w:tcPr>
          <w:p w14:paraId="34478E4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预期用途</w:t>
            </w:r>
          </w:p>
        </w:tc>
      </w:tr>
      <w:tr w14:paraId="45B3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03" w:type="dxa"/>
            <w:shd w:val="clear" w:color="auto" w:fill="auto"/>
            <w:vAlign w:val="top"/>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生物显微镜</w:t>
            </w:r>
          </w:p>
        </w:tc>
        <w:tc>
          <w:tcPr>
            <w:tcW w:w="2121" w:type="dxa"/>
            <w:shd w:val="clear" w:color="auto" w:fill="auto"/>
            <w:vAlign w:val="top"/>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检验科</w:t>
            </w:r>
          </w:p>
        </w:tc>
        <w:tc>
          <w:tcPr>
            <w:tcW w:w="1300" w:type="dxa"/>
            <w:shd w:val="clear" w:color="auto" w:fill="auto"/>
            <w:vAlign w:val="top"/>
          </w:tcPr>
          <w:p w14:paraId="221F412A">
            <w:pPr>
              <w:spacing w:line="440" w:lineRule="exact"/>
              <w:rPr>
                <w:rFonts w:hint="default" w:ascii="仿宋" w:hAnsi="仿宋" w:eastAsia="仿宋" w:cs="仿宋"/>
                <w:color w:val="000000" w:themeColor="text1"/>
                <w:sz w:val="24"/>
                <w:highlight w:val="yellow"/>
                <w:lang w:val="en-US" w:eastAsia="zh-CN"/>
              </w:rPr>
            </w:pPr>
            <w:r>
              <w:rPr>
                <w:rFonts w:hint="eastAsia" w:ascii="仿宋" w:hAnsi="仿宋" w:eastAsia="仿宋" w:cs="仿宋"/>
                <w:color w:val="000000" w:themeColor="text1"/>
                <w:sz w:val="24"/>
                <w:highlight w:val="none"/>
                <w:lang w:val="en-US" w:eastAsia="zh-CN"/>
              </w:rPr>
              <w:t>2</w:t>
            </w:r>
          </w:p>
        </w:tc>
        <w:tc>
          <w:tcPr>
            <w:tcW w:w="2024" w:type="dxa"/>
            <w:shd w:val="clear" w:color="auto" w:fill="auto"/>
            <w:vAlign w:val="top"/>
          </w:tcPr>
          <w:p w14:paraId="16C2153A">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尿常规镜检复查</w:t>
            </w:r>
            <w:r>
              <w:rPr>
                <w:rFonts w:hint="eastAsia" w:ascii="仿宋" w:hAnsi="仿宋" w:eastAsia="仿宋" w:cs="仿宋"/>
                <w:color w:val="000000" w:themeColor="text1"/>
                <w:sz w:val="24"/>
                <w:lang w:eastAsia="zh-CN"/>
              </w:rPr>
              <w:t>、微生物镜检筛查</w:t>
            </w:r>
          </w:p>
        </w:tc>
      </w:tr>
    </w:tbl>
    <w:p w14:paraId="26B12F7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核心产品：生物显微镜</w:t>
      </w:r>
    </w:p>
    <w:p w14:paraId="49EAD8B8">
      <w:pPr>
        <w:spacing w:line="440" w:lineRule="exact"/>
        <w:rPr>
          <w:rFonts w:hint="eastAsia" w:ascii="仿宋" w:hAnsi="仿宋" w:eastAsia="仿宋" w:cs="仿宋"/>
          <w:color w:val="000000" w:themeColor="text1"/>
          <w:sz w:val="24"/>
        </w:rPr>
      </w:pPr>
    </w:p>
    <w:p w14:paraId="7FA708F7">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用途：</w:t>
      </w:r>
    </w:p>
    <w:p w14:paraId="7F43EBA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 可用于普通染色的切片观察及尿液</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大便、女性阴道分泌物</w:t>
      </w:r>
      <w:r>
        <w:rPr>
          <w:rFonts w:hint="eastAsia" w:ascii="仿宋" w:hAnsi="仿宋" w:eastAsia="仿宋" w:cs="仿宋"/>
          <w:color w:val="000000" w:themeColor="text1"/>
          <w:sz w:val="24"/>
          <w:lang w:val="en-US" w:eastAsia="zh-CN"/>
        </w:rPr>
        <w:t>和微生物</w:t>
      </w:r>
      <w:r>
        <w:rPr>
          <w:rFonts w:hint="eastAsia" w:ascii="仿宋" w:hAnsi="仿宋" w:eastAsia="仿宋" w:cs="仿宋"/>
          <w:color w:val="000000" w:themeColor="text1"/>
          <w:sz w:val="24"/>
        </w:rPr>
        <w:t>等形态学方面的镜检。</w:t>
      </w:r>
    </w:p>
    <w:p w14:paraId="7AEE99CA">
      <w:pPr>
        <w:spacing w:line="440" w:lineRule="exact"/>
        <w:rPr>
          <w:rFonts w:ascii="宋体" w:hAnsi="宋体" w:cs="宋体"/>
          <w:b/>
          <w:sz w:val="24"/>
        </w:rPr>
      </w:pPr>
      <w:r>
        <w:rPr>
          <w:rFonts w:hint="eastAsia" w:ascii="仿宋" w:hAnsi="仿宋" w:eastAsia="仿宋" w:cs="仿宋"/>
          <w:color w:val="000000" w:themeColor="text1"/>
          <w:sz w:val="24"/>
        </w:rPr>
        <w:t>2.为临床医务人员及医学生提供科研与培训教学等工作</w:t>
      </w:r>
      <w:r>
        <w:rPr>
          <w:rFonts w:hint="eastAsia" w:ascii="宋体" w:hAnsi="宋体"/>
          <w:color w:val="000000"/>
          <w:sz w:val="24"/>
          <w:shd w:val="clear" w:color="auto" w:fill="FFFFFF"/>
        </w:rPr>
        <w:t>。</w:t>
      </w:r>
      <w:r>
        <w:rPr>
          <w:rFonts w:ascii="宋体" w:hAnsi="宋体" w:cs="宋体"/>
          <w:b/>
          <w:sz w:val="24"/>
        </w:rPr>
        <w:t xml:space="preserve">  </w:t>
      </w:r>
    </w:p>
    <w:p w14:paraId="247ACE54">
      <w:pPr>
        <w:spacing w:line="440" w:lineRule="exact"/>
        <w:rPr>
          <w:rFonts w:ascii="仿宋" w:hAnsi="仿宋" w:eastAsia="仿宋" w:cs="仿宋"/>
          <w:b/>
          <w:color w:val="000000" w:themeColor="text1"/>
          <w:sz w:val="24"/>
        </w:rPr>
      </w:pPr>
    </w:p>
    <w:p w14:paraId="74EE0701">
      <w:pPr>
        <w:numPr>
          <w:ilvl w:val="0"/>
          <w:numId w:val="4"/>
        </w:numPr>
        <w:spacing w:line="440" w:lineRule="exact"/>
        <w:ind w:left="0" w:leftChars="0" w:firstLine="0" w:firstLineChars="0"/>
        <w:rPr>
          <w:rFonts w:hint="eastAsia" w:ascii="仿宋" w:hAnsi="仿宋" w:eastAsia="仿宋" w:cs="仿宋"/>
          <w:b/>
          <w:color w:val="000000" w:themeColor="text1"/>
          <w:sz w:val="24"/>
          <w:highlight w:val="none"/>
          <w:lang w:val="en-US" w:eastAsia="zh-CN"/>
        </w:rPr>
      </w:pPr>
      <w:r>
        <w:rPr>
          <w:rFonts w:hint="eastAsia" w:ascii="仿宋" w:hAnsi="仿宋" w:eastAsia="仿宋" w:cs="仿宋"/>
          <w:b/>
          <w:color w:val="000000" w:themeColor="text1"/>
          <w:sz w:val="24"/>
          <w:highlight w:val="none"/>
          <w:lang w:val="en-US" w:eastAsia="zh-CN"/>
        </w:rPr>
        <w:t>技术参数</w:t>
      </w:r>
    </w:p>
    <w:p w14:paraId="46543918">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基本要求：生物显微镜，放大倍率40~1000X</w:t>
      </w:r>
    </w:p>
    <w:p w14:paraId="7B692674">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物镜：至少配备平场消色差物镜4X\10X\40X\100X</w:t>
      </w:r>
    </w:p>
    <w:p w14:paraId="27FD8057">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目镜：高眼点目镜，视野数至少20；</w:t>
      </w:r>
    </w:p>
    <w:p w14:paraId="29C217EF">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观察筒：双目观察筒，屈光度、瞳间距可调；</w:t>
      </w:r>
    </w:p>
    <w:p w14:paraId="6A9D62E0">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片夹：安全片夹，可以防止载玻片破裂；</w:t>
      </w:r>
    </w:p>
    <w:p w14:paraId="6C551AD6">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光源：LED光源，无须调节即可获得均匀照明，</w:t>
      </w:r>
      <w:r>
        <w:rPr>
          <w:rFonts w:hint="eastAsia" w:ascii="仿宋" w:hAnsi="仿宋" w:eastAsia="仿宋" w:cs="仿宋"/>
          <w:color w:val="000000" w:themeColor="text1"/>
          <w:sz w:val="24"/>
          <w:highlight w:val="none"/>
          <w:lang w:val="en-US" w:eastAsia="zh-CN"/>
        </w:rPr>
        <w:t>≥</w:t>
      </w:r>
      <w:r>
        <w:rPr>
          <w:rFonts w:hint="eastAsia" w:ascii="仿宋" w:hAnsi="仿宋" w:eastAsia="仿宋" w:cs="仿宋"/>
          <w:color w:val="000000" w:themeColor="text1"/>
          <w:sz w:val="24"/>
        </w:rPr>
        <w:t>20000小时寿命；</w:t>
      </w:r>
    </w:p>
    <w:p w14:paraId="6A5410D7">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防霉装置：在双目观察筒、目镜、物镜都做了防霉处理。</w:t>
      </w:r>
    </w:p>
    <w:p w14:paraId="7D5152BC">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载物台：钢丝底部传动机械载物台，无突出锯齿状支架及轨道，保证安全。</w:t>
      </w:r>
    </w:p>
    <w:p w14:paraId="4AFD03B6">
      <w:pPr>
        <w:numPr>
          <w:ilvl w:val="0"/>
          <w:numId w:val="5"/>
        </w:numPr>
        <w:spacing w:line="440" w:lineRule="exact"/>
        <w:ind w:left="425" w:leftChars="0" w:hanging="425" w:firstLineChars="0"/>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调焦机构：有粗调限位，可以进行张力调节，避免标本或物镜的损伤</w:t>
      </w:r>
    </w:p>
    <w:p w14:paraId="542684BD">
      <w:pPr>
        <w:numPr>
          <w:ilvl w:val="0"/>
          <w:numId w:val="5"/>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观察方式：能够实现明场观察。</w:t>
      </w:r>
    </w:p>
    <w:p w14:paraId="23952613">
      <w:pPr>
        <w:numPr>
          <w:ilvl w:val="0"/>
          <w:numId w:val="5"/>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聚光镜：阿贝聚光镜，中心可调，可扩展暗视野、相差功能</w:t>
      </w:r>
    </w:p>
    <w:p w14:paraId="16234854">
      <w:pPr>
        <w:numPr>
          <w:ilvl w:val="0"/>
          <w:numId w:val="5"/>
        </w:numPr>
        <w:spacing w:line="440" w:lineRule="exact"/>
        <w:ind w:left="425" w:leftChars="0" w:hanging="425"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设备使用年限≥5年</w:t>
      </w:r>
    </w:p>
    <w:p w14:paraId="2D9C1BC3">
      <w:pPr>
        <w:spacing w:line="440" w:lineRule="exact"/>
        <w:rPr>
          <w:rFonts w:hint="eastAsia" w:ascii="仿宋" w:hAnsi="仿宋" w:eastAsia="仿宋" w:cs="仿宋"/>
          <w:color w:val="000000" w:themeColor="text1"/>
          <w:sz w:val="24"/>
        </w:rPr>
      </w:pPr>
    </w:p>
    <w:p w14:paraId="5B198E0B">
      <w:pPr>
        <w:spacing w:line="440" w:lineRule="exact"/>
        <w:rPr>
          <w:rFonts w:hint="eastAsia" w:ascii="仿宋" w:hAnsi="仿宋" w:eastAsia="仿宋" w:cs="仿宋"/>
          <w:color w:val="000000" w:themeColor="text1"/>
          <w:sz w:val="24"/>
        </w:rPr>
      </w:pPr>
      <w:r>
        <w:rPr>
          <w:rFonts w:hint="eastAsia" w:ascii="仿宋" w:hAnsi="仿宋" w:eastAsia="仿宋" w:cs="仿宋"/>
          <w:b/>
          <w:bCs/>
          <w:color w:val="FF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5"/>
        <w:gridCol w:w="3369"/>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255" w:type="dxa"/>
          </w:tcPr>
          <w:p w14:paraId="728B52F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369" w:type="dxa"/>
          </w:tcPr>
          <w:p w14:paraId="42C03E3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w:t>
            </w:r>
          </w:p>
        </w:tc>
        <w:tc>
          <w:tcPr>
            <w:tcW w:w="2255" w:type="dxa"/>
          </w:tcPr>
          <w:p w14:paraId="42ECF33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生物显微镜主机</w:t>
            </w:r>
          </w:p>
        </w:tc>
        <w:tc>
          <w:tcPr>
            <w:tcW w:w="3369" w:type="dxa"/>
          </w:tcPr>
          <w:p w14:paraId="54E0F7C1">
            <w:pPr>
              <w:spacing w:line="440" w:lineRule="exact"/>
              <w:rPr>
                <w:rFonts w:hint="eastAsia" w:ascii="仿宋" w:hAnsi="仿宋" w:eastAsia="仿宋" w:cs="仿宋"/>
                <w:color w:val="000000" w:themeColor="text1"/>
                <w:sz w:val="24"/>
              </w:rPr>
            </w:pPr>
          </w:p>
        </w:tc>
        <w:tc>
          <w:tcPr>
            <w:tcW w:w="969" w:type="dxa"/>
          </w:tcPr>
          <w:p w14:paraId="73DFF0D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76FEFD8C">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highlight w:val="none"/>
                <w:lang w:val="en-US" w:eastAsia="zh-CN"/>
              </w:rPr>
              <w:t>台</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w:t>
            </w:r>
          </w:p>
        </w:tc>
        <w:tc>
          <w:tcPr>
            <w:tcW w:w="2255" w:type="dxa"/>
          </w:tcPr>
          <w:p w14:paraId="31B63238">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透射明场照明系统</w:t>
            </w:r>
          </w:p>
        </w:tc>
        <w:tc>
          <w:tcPr>
            <w:tcW w:w="3369" w:type="dxa"/>
          </w:tcPr>
          <w:p w14:paraId="4B81501E">
            <w:pPr>
              <w:spacing w:line="440" w:lineRule="exact"/>
              <w:rPr>
                <w:rFonts w:hint="eastAsia" w:ascii="仿宋" w:hAnsi="仿宋" w:eastAsia="仿宋" w:cs="仿宋"/>
                <w:color w:val="000000" w:themeColor="text1"/>
                <w:sz w:val="24"/>
              </w:rPr>
            </w:pPr>
          </w:p>
        </w:tc>
        <w:tc>
          <w:tcPr>
            <w:tcW w:w="969" w:type="dxa"/>
          </w:tcPr>
          <w:p w14:paraId="358E2F0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6F4FDCA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w:t>
            </w:r>
          </w:p>
        </w:tc>
        <w:tc>
          <w:tcPr>
            <w:tcW w:w="2255" w:type="dxa"/>
          </w:tcPr>
          <w:p w14:paraId="05C551DB">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 xml:space="preserve">平场消色差物镜4X/10X/40X/100X </w:t>
            </w:r>
          </w:p>
        </w:tc>
        <w:tc>
          <w:tcPr>
            <w:tcW w:w="3369" w:type="dxa"/>
          </w:tcPr>
          <w:p w14:paraId="313DC650">
            <w:pPr>
              <w:spacing w:line="440" w:lineRule="exact"/>
              <w:rPr>
                <w:rFonts w:hint="eastAsia" w:ascii="仿宋" w:hAnsi="仿宋" w:eastAsia="仿宋" w:cs="仿宋"/>
                <w:color w:val="000000" w:themeColor="text1"/>
                <w:sz w:val="24"/>
              </w:rPr>
            </w:pPr>
          </w:p>
        </w:tc>
        <w:tc>
          <w:tcPr>
            <w:tcW w:w="969" w:type="dxa"/>
          </w:tcPr>
          <w:p w14:paraId="7F33DB8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76CE4BBF">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4</w:t>
            </w:r>
          </w:p>
        </w:tc>
        <w:tc>
          <w:tcPr>
            <w:tcW w:w="2255" w:type="dxa"/>
          </w:tcPr>
          <w:p w14:paraId="48023CE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10X目镜</w:t>
            </w:r>
          </w:p>
        </w:tc>
        <w:tc>
          <w:tcPr>
            <w:tcW w:w="3369" w:type="dxa"/>
          </w:tcPr>
          <w:p w14:paraId="6510BE39">
            <w:pPr>
              <w:spacing w:line="440" w:lineRule="exact"/>
              <w:rPr>
                <w:rFonts w:hint="eastAsia" w:ascii="仿宋" w:hAnsi="仿宋" w:eastAsia="仿宋" w:cs="仿宋"/>
                <w:color w:val="000000" w:themeColor="text1"/>
                <w:sz w:val="24"/>
              </w:rPr>
            </w:pPr>
          </w:p>
        </w:tc>
        <w:tc>
          <w:tcPr>
            <w:tcW w:w="969" w:type="dxa"/>
          </w:tcPr>
          <w:p w14:paraId="79422489">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tcPr>
          <w:p w14:paraId="69088D6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5</w:t>
            </w:r>
          </w:p>
        </w:tc>
        <w:tc>
          <w:tcPr>
            <w:tcW w:w="2255" w:type="dxa"/>
          </w:tcPr>
          <w:p w14:paraId="7C40CED3">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电源线</w:t>
            </w:r>
          </w:p>
        </w:tc>
        <w:tc>
          <w:tcPr>
            <w:tcW w:w="3369" w:type="dxa"/>
          </w:tcPr>
          <w:p w14:paraId="3074865A">
            <w:pPr>
              <w:spacing w:line="440" w:lineRule="exact"/>
              <w:rPr>
                <w:rFonts w:hint="eastAsia" w:ascii="仿宋" w:hAnsi="仿宋" w:eastAsia="仿宋" w:cs="仿宋"/>
                <w:color w:val="000000" w:themeColor="text1"/>
                <w:sz w:val="24"/>
              </w:rPr>
            </w:pPr>
          </w:p>
        </w:tc>
        <w:tc>
          <w:tcPr>
            <w:tcW w:w="969" w:type="dxa"/>
          </w:tcPr>
          <w:p w14:paraId="1B42B28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5455067C">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条</w:t>
            </w:r>
          </w:p>
        </w:tc>
      </w:tr>
    </w:tbl>
    <w:p w14:paraId="7A9BBF4D">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4B58F4B8">
      <w:pPr>
        <w:spacing w:line="440" w:lineRule="exact"/>
        <w:rPr>
          <w:rFonts w:hint="eastAsia" w:ascii="仿宋" w:hAnsi="仿宋" w:eastAsia="仿宋" w:cs="仿宋"/>
          <w:color w:val="000000" w:themeColor="text1"/>
          <w:sz w:val="24"/>
          <w:highlight w:val="yellow"/>
          <w:lang w:val="en-US"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yellow"/>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lang w:val="en-US" w:eastAsia="zh-CN"/>
        </w:rPr>
        <w:t>2</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270681A3">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43A4AC0"/>
    <w:multiLevelType w:val="singleLevel"/>
    <w:tmpl w:val="543A4AC0"/>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983A1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0E7747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04824"/>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8EF7DAC"/>
    <w:rsid w:val="79070A07"/>
    <w:rsid w:val="79907C4E"/>
    <w:rsid w:val="79A3457A"/>
    <w:rsid w:val="7A903C7E"/>
    <w:rsid w:val="7AFB2199"/>
    <w:rsid w:val="7B47043A"/>
    <w:rsid w:val="7B4C229B"/>
    <w:rsid w:val="7B69139A"/>
    <w:rsid w:val="7B694BFB"/>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1266</Words>
  <Characters>1297</Characters>
  <Lines>5</Lines>
  <Paragraphs>1</Paragraphs>
  <TotalTime>1</TotalTime>
  <ScaleCrop>false</ScaleCrop>
  <LinksUpToDate>false</LinksUpToDate>
  <CharactersWithSpaces>1340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2025-02-11T10:11:47Z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