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W w:w="10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4"/>
              <w:gridCol w:w="975"/>
              <w:gridCol w:w="1025"/>
              <w:gridCol w:w="938"/>
              <w:gridCol w:w="825"/>
              <w:gridCol w:w="1212"/>
              <w:gridCol w:w="1400"/>
              <w:gridCol w:w="2457"/>
            </w:tblGrid>
            <w:tr w14:paraId="0364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4862CF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358564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13099A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938" w:type="dxa"/>
                  <w:tcBorders>
                    <w:top w:val="single" w:color="000000" w:sz="4" w:space="0"/>
                    <w:left w:val="single" w:color="000000" w:sz="4" w:space="0"/>
                    <w:right w:val="single" w:color="000000" w:sz="4" w:space="0"/>
                  </w:tcBorders>
                  <w:noWrap/>
                  <w:vAlign w:val="center"/>
                </w:tcPr>
                <w:p w14:paraId="39BEE7F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AFA81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212" w:type="dxa"/>
                  <w:tcBorders>
                    <w:top w:val="single" w:color="000000" w:sz="4" w:space="0"/>
                    <w:left w:val="single" w:color="000000" w:sz="4" w:space="0"/>
                    <w:right w:val="single" w:color="000000" w:sz="4" w:space="0"/>
                  </w:tcBorders>
                  <w:noWrap/>
                  <w:vAlign w:val="center"/>
                </w:tcPr>
                <w:p w14:paraId="363485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FF0000"/>
                      <w:kern w:val="0"/>
                      <w:sz w:val="21"/>
                      <w:szCs w:val="21"/>
                      <w:u w:val="none"/>
                      <w:lang w:val="en-US" w:eastAsia="zh-CN" w:bidi="ar"/>
                    </w:rPr>
                    <w:t>质保期等于设备使用年限</w:t>
                  </w:r>
                  <w:r>
                    <w:rPr>
                      <w:rFonts w:hint="eastAsia" w:ascii="宋体" w:hAnsi="宋体" w:eastAsia="宋体" w:cs="宋体"/>
                      <w:b/>
                      <w:bCs/>
                      <w:i w:val="0"/>
                      <w:iCs w:val="0"/>
                      <w:color w:val="000000"/>
                      <w:kern w:val="0"/>
                      <w:sz w:val="21"/>
                      <w:szCs w:val="21"/>
                      <w:u w:val="none"/>
                      <w:lang w:val="en-US" w:eastAsia="zh-CN" w:bidi="ar"/>
                    </w:rPr>
                    <w:t>的设备</w:t>
                  </w:r>
                  <w:r>
                    <w:rPr>
                      <w:rFonts w:hint="eastAsia" w:ascii="宋体" w:hAnsi="宋体" w:cs="宋体"/>
                      <w:b/>
                      <w:bCs/>
                      <w:i w:val="0"/>
                      <w:iCs w:val="0"/>
                      <w:color w:val="000000"/>
                      <w:kern w:val="0"/>
                      <w:sz w:val="21"/>
                      <w:szCs w:val="21"/>
                      <w:u w:val="none"/>
                      <w:lang w:val="en-US" w:eastAsia="zh-CN" w:bidi="ar"/>
                    </w:rPr>
                    <w:t>报价</w:t>
                  </w:r>
                  <w:r>
                    <w:rPr>
                      <w:rFonts w:hint="eastAsia" w:ascii="宋体" w:hAnsi="宋体" w:eastAsia="宋体" w:cs="宋体"/>
                      <w:b/>
                      <w:bCs/>
                      <w:i w:val="0"/>
                      <w:iCs w:val="0"/>
                      <w:color w:val="FF0000"/>
                      <w:kern w:val="0"/>
                      <w:sz w:val="21"/>
                      <w:szCs w:val="21"/>
                      <w:u w:val="none"/>
                      <w:lang w:val="en-US" w:eastAsia="zh-CN" w:bidi="ar"/>
                    </w:rPr>
                    <w:t>（元）</w:t>
                  </w:r>
                </w:p>
              </w:tc>
              <w:tc>
                <w:tcPr>
                  <w:tcW w:w="1400" w:type="dxa"/>
                  <w:tcBorders>
                    <w:top w:val="single" w:color="000000" w:sz="4" w:space="0"/>
                    <w:left w:val="single" w:color="000000" w:sz="4" w:space="0"/>
                    <w:right w:val="single" w:color="000000" w:sz="4" w:space="0"/>
                  </w:tcBorders>
                  <w:noWrap w:val="0"/>
                  <w:vAlign w:val="center"/>
                </w:tcPr>
                <w:p w14:paraId="429BE72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p>
              </w:tc>
              <w:tc>
                <w:tcPr>
                  <w:tcW w:w="2457" w:type="dxa"/>
                  <w:tcBorders>
                    <w:top w:val="single" w:color="000000" w:sz="4" w:space="0"/>
                    <w:left w:val="single" w:color="000000" w:sz="4" w:space="0"/>
                    <w:right w:val="single" w:color="000000" w:sz="4" w:space="0"/>
                  </w:tcBorders>
                  <w:noWrap w:val="0"/>
                  <w:vAlign w:val="center"/>
                </w:tcPr>
                <w:p w14:paraId="624B78C6">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制造商性质</w:t>
                  </w:r>
                </w:p>
              </w:tc>
            </w:tr>
            <w:tr w14:paraId="4944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712159F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DF7333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61A945C">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7A1710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A973198">
                  <w:pPr>
                    <w:jc w:val="cente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FC316E5">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39558093">
                  <w:pPr>
                    <w:ind w:right="15" w:rightChars="7"/>
                    <w:jc w:val="center"/>
                    <w:rPr>
                      <w:rFonts w:hint="eastAsia" w:ascii="宋体" w:hAnsi="宋体" w:eastAsia="宋体" w:cs="宋体"/>
                      <w:i w:val="0"/>
                      <w:iCs w:val="0"/>
                      <w:color w:val="000000"/>
                      <w:sz w:val="21"/>
                      <w:szCs w:val="21"/>
                      <w:u w:val="none"/>
                    </w:rPr>
                  </w:pPr>
                </w:p>
              </w:tc>
              <w:tc>
                <w:tcPr>
                  <w:tcW w:w="2457" w:type="dxa"/>
                  <w:tcBorders>
                    <w:top w:val="single" w:color="000000" w:sz="4" w:space="0"/>
                    <w:left w:val="single" w:color="000000" w:sz="4" w:space="0"/>
                    <w:bottom w:val="single" w:color="000000" w:sz="4" w:space="0"/>
                    <w:right w:val="single" w:color="000000" w:sz="4" w:space="0"/>
                  </w:tcBorders>
                  <w:noWrap/>
                  <w:vAlign w:val="center"/>
                </w:tcPr>
                <w:p w14:paraId="3B86579F">
                  <w:pPr>
                    <w:ind w:right="15" w:rightChars="7"/>
                    <w:jc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中型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小型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微型</w:t>
                  </w:r>
                </w:p>
              </w:tc>
            </w:tr>
          </w:tbl>
          <w:p w14:paraId="6B83F497">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eastAsia" w:ascii="楷体_GB2312" w:hAnsi="楷体_GB2312" w:eastAsia="楷体_GB2312" w:cs="楷体_GB2312"/>
                <w:b/>
                <w:sz w:val="21"/>
                <w:szCs w:val="21"/>
                <w:u w:val="single"/>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325"/>
              <w:gridCol w:w="1200"/>
              <w:gridCol w:w="925"/>
              <w:gridCol w:w="1150"/>
              <w:gridCol w:w="1038"/>
              <w:gridCol w:w="587"/>
              <w:gridCol w:w="1363"/>
              <w:gridCol w:w="912"/>
              <w:gridCol w:w="1100"/>
            </w:tblGrid>
            <w:tr w14:paraId="5B1B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通用耗材/专机耗材</w:t>
                  </w:r>
                </w:p>
              </w:tc>
            </w:tr>
            <w:tr w14:paraId="1810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bookmarkStart w:id="0" w:name="_GoBack"/>
            <w:bookmarkEnd w:id="0"/>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2、耗材成本占收费标准的比率：（耗材成本占收费标准的比率=耗材成本/医疗服务价格*100%）</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rPr>
                  </w:pP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eastAsia" w:ascii="宋体" w:hAnsi="宋体" w:eastAsia="宋体" w:cs="宋体"/>
                      <w:b/>
                      <w:bCs/>
                      <w:i w:val="0"/>
                      <w:iCs w:val="0"/>
                      <w:color w:val="000000"/>
                      <w:sz w:val="21"/>
                      <w:szCs w:val="21"/>
                      <w:u w:val="none"/>
                    </w:rPr>
                  </w:pPr>
                </w:p>
              </w:tc>
            </w:tr>
          </w:tbl>
          <w:p w14:paraId="5D9EC27C">
            <w:pPr>
              <w:numPr>
                <w:ilvl w:val="0"/>
                <w:numId w:val="0"/>
              </w:numPr>
              <w:tabs>
                <w:tab w:val="left" w:pos="780"/>
              </w:tabs>
              <w:spacing w:line="360" w:lineRule="exact"/>
              <w:rPr>
                <w:rFonts w:hint="eastAsia" w:ascii="仿宋" w:hAnsi="仿宋" w:eastAsia="仿宋" w:cs="Times New Roman"/>
                <w:b/>
                <w:bCs/>
                <w:sz w:val="21"/>
                <w:szCs w:val="21"/>
                <w:lang w:val="en-US" w:eastAsia="zh-CN"/>
              </w:rPr>
            </w:pPr>
          </w:p>
          <w:p w14:paraId="04DC4139">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需提供产品资质：</w:t>
      </w:r>
    </w:p>
    <w:p w14:paraId="62238CBE">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1</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盖章版市场调研报价信息表</w:t>
      </w:r>
    </w:p>
    <w:p w14:paraId="27D087B8">
      <w:pPr>
        <w:spacing w:line="440" w:lineRule="exact"/>
        <w:jc w:val="both"/>
        <w:rPr>
          <w:rFonts w:hint="eastAsia" w:ascii="仿宋" w:hAnsi="仿宋" w:eastAsia="仿宋"/>
          <w:b w:val="0"/>
          <w:bCs w:val="0"/>
          <w:color w:val="auto"/>
          <w:sz w:val="21"/>
          <w:szCs w:val="21"/>
        </w:rPr>
      </w:pPr>
      <w:r>
        <w:rPr>
          <w:rFonts w:hint="eastAsia" w:ascii="仿宋" w:hAnsi="仿宋" w:eastAsia="仿宋"/>
          <w:b w:val="0"/>
          <w:bCs w:val="0"/>
          <w:color w:val="auto"/>
          <w:sz w:val="21"/>
          <w:szCs w:val="21"/>
          <w:lang w:val="en-US" w:eastAsia="zh-CN"/>
        </w:rPr>
        <w:t>（2）参数偏离情况表</w:t>
      </w:r>
    </w:p>
    <w:p w14:paraId="5DA5075B">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（3）设备的</w:t>
      </w:r>
      <w:r>
        <w:rPr>
          <w:rFonts w:hint="eastAsia" w:ascii="仿宋" w:hAnsi="仿宋" w:eastAsia="仿宋"/>
          <w:b w:val="0"/>
          <w:bCs w:val="0"/>
          <w:color w:val="auto"/>
          <w:sz w:val="21"/>
          <w:szCs w:val="21"/>
        </w:rPr>
        <w:t>医疗器械注册证及其附页或备案凭证及备案信息表（如有）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4</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耗材的</w:t>
      </w:r>
      <w:r>
        <w:rPr>
          <w:rFonts w:hint="eastAsia" w:ascii="仿宋" w:hAnsi="仿宋" w:eastAsia="仿宋"/>
          <w:b w:val="0"/>
          <w:bCs w:val="0"/>
          <w:color w:val="auto"/>
          <w:sz w:val="21"/>
          <w:szCs w:val="21"/>
        </w:rPr>
        <w:t>医疗器械注册证及其附页或备案凭证及备案信息表</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耗材说明书</w:t>
      </w:r>
      <w:r>
        <w:rPr>
          <w:rFonts w:hint="eastAsia" w:ascii="仿宋" w:hAnsi="仿宋" w:eastAsia="仿宋"/>
          <w:b w:val="0"/>
          <w:bCs w:val="0"/>
          <w:color w:val="auto"/>
          <w:sz w:val="21"/>
          <w:szCs w:val="21"/>
        </w:rPr>
        <w:t>（如有）</w:t>
      </w:r>
      <w:r>
        <w:rPr>
          <w:rFonts w:hint="eastAsia" w:ascii="仿宋" w:hAnsi="仿宋" w:eastAsia="仿宋"/>
          <w:b w:val="0"/>
          <w:bCs w:val="0"/>
          <w:color w:val="auto"/>
          <w:sz w:val="21"/>
          <w:szCs w:val="21"/>
          <w:lang w:val="en-US" w:eastAsia="zh-CN"/>
        </w:rPr>
        <w:t>。</w:t>
      </w:r>
    </w:p>
    <w:p w14:paraId="09855D62">
      <w:pPr>
        <w:tabs>
          <w:tab w:val="left" w:pos="780"/>
        </w:tabs>
        <w:spacing w:line="360" w:lineRule="exact"/>
        <w:rPr>
          <w:rFonts w:hint="default"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（5）</w:t>
      </w:r>
      <w:r>
        <w:rPr>
          <w:rFonts w:hint="eastAsia" w:ascii="仿宋" w:hAnsi="仿宋" w:eastAsia="仿宋"/>
          <w:b w:val="0"/>
          <w:bCs w:val="0"/>
          <w:color w:val="auto"/>
          <w:sz w:val="21"/>
          <w:szCs w:val="21"/>
        </w:rPr>
        <w:t>供应商</w:t>
      </w:r>
      <w:r>
        <w:rPr>
          <w:rFonts w:hint="eastAsia" w:ascii="仿宋" w:hAnsi="仿宋" w:eastAsia="仿宋"/>
          <w:b w:val="0"/>
          <w:bCs w:val="0"/>
          <w:color w:val="auto"/>
          <w:sz w:val="21"/>
          <w:szCs w:val="21"/>
          <w:lang w:val="en-US" w:eastAsia="zh-CN"/>
        </w:rPr>
        <w:t>及厂家</w:t>
      </w:r>
      <w:r>
        <w:rPr>
          <w:rFonts w:hint="eastAsia" w:ascii="仿宋" w:hAnsi="仿宋" w:eastAsia="仿宋"/>
          <w:b w:val="0"/>
          <w:bCs w:val="0"/>
          <w:color w:val="auto"/>
          <w:sz w:val="21"/>
          <w:szCs w:val="21"/>
        </w:rPr>
        <w:t>证件</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营业执照、医疗器械经营许可证/备案凭证、生产许可证、授权书等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rPr>
        <w:t>。</w:t>
      </w:r>
    </w:p>
    <w:p w14:paraId="395F9F4F">
      <w:pPr>
        <w:spacing w:line="440" w:lineRule="exact"/>
        <w:jc w:val="both"/>
        <w:rPr>
          <w:rFonts w:hint="eastAsia"/>
          <w:b/>
          <w:sz w:val="32"/>
          <w:szCs w:val="32"/>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040DECAA">
      <w:pPr>
        <w:spacing w:line="440" w:lineRule="exact"/>
        <w:jc w:val="both"/>
        <w:rPr>
          <w:rFonts w:hint="eastAsia"/>
          <w:b/>
          <w:sz w:val="32"/>
          <w:szCs w:val="32"/>
        </w:rPr>
      </w:pPr>
    </w:p>
    <w:p w14:paraId="180E1C26">
      <w:pPr>
        <w:spacing w:line="440" w:lineRule="exact"/>
        <w:jc w:val="both"/>
        <w:rPr>
          <w:rFonts w:hint="eastAsia"/>
          <w:b/>
          <w:sz w:val="32"/>
          <w:szCs w:val="32"/>
        </w:rPr>
      </w:pPr>
    </w:p>
    <w:p w14:paraId="6E90987E">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03585C4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666B546A">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总则：</w:t>
      </w:r>
    </w:p>
    <w:p w14:paraId="3AD351A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35D27D8">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746C195E">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3.★投标供应商应该符合《医疗器械经营质量管理规范》和《医疗器械监督管理条例》规定，并结合本项目特性提供有效的医疗器械产品注册/备案证明材料和投标供应商的经营许可/备案证明材料。</w:t>
      </w:r>
    </w:p>
    <w:p w14:paraId="434CA3E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4.本文的“质保期”是指中标标的物经约定的验收机构完成验收之日起算，截止中标人承诺的期限。</w:t>
      </w:r>
    </w:p>
    <w:p w14:paraId="0FE58464">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4942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48B79838">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268" w:type="dxa"/>
          </w:tcPr>
          <w:p w14:paraId="6EEEA976">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508" w:type="dxa"/>
          </w:tcPr>
          <w:p w14:paraId="2E38BF6F">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数量（套）</w:t>
            </w:r>
          </w:p>
        </w:tc>
      </w:tr>
      <w:tr w14:paraId="3FD8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74E868CA">
            <w:pPr>
              <w:spacing w:line="440" w:lineRule="exact"/>
              <w:rPr>
                <w:rFonts w:ascii="仿宋" w:hAnsi="仿宋" w:eastAsia="仿宋" w:cs="仿宋"/>
                <w:color w:val="auto"/>
                <w:sz w:val="24"/>
                <w:highlight w:val="none"/>
              </w:rPr>
            </w:pPr>
            <w:r>
              <w:rPr>
                <w:rFonts w:hint="eastAsia" w:ascii="仿宋" w:hAnsi="仿宋" w:eastAsia="仿宋"/>
                <w:color w:val="auto"/>
                <w:sz w:val="24"/>
                <w:highlight w:val="none"/>
              </w:rPr>
              <w:t>全自动尿液分析仪流水线</w:t>
            </w:r>
          </w:p>
        </w:tc>
        <w:tc>
          <w:tcPr>
            <w:tcW w:w="2268" w:type="dxa"/>
          </w:tcPr>
          <w:p w14:paraId="05A43CB2">
            <w:pPr>
              <w:spacing w:line="440" w:lineRule="exact"/>
              <w:rPr>
                <w:rFonts w:ascii="仿宋" w:hAnsi="仿宋" w:eastAsia="仿宋" w:cs="仿宋"/>
                <w:color w:val="auto"/>
                <w:sz w:val="24"/>
                <w:highlight w:val="none"/>
              </w:rPr>
            </w:pPr>
            <w:r>
              <w:rPr>
                <w:rFonts w:ascii="仿宋" w:hAnsi="仿宋" w:eastAsia="仿宋" w:cs="仿宋"/>
                <w:color w:val="auto"/>
                <w:sz w:val="24"/>
                <w:highlight w:val="none"/>
              </w:rPr>
              <w:t>检验科</w:t>
            </w:r>
          </w:p>
        </w:tc>
        <w:tc>
          <w:tcPr>
            <w:tcW w:w="2508" w:type="dxa"/>
          </w:tcPr>
          <w:p w14:paraId="5F826B99">
            <w:pPr>
              <w:spacing w:line="44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r>
    </w:tbl>
    <w:p w14:paraId="21B0062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p w14:paraId="7DC49CBA">
      <w:pPr>
        <w:pStyle w:val="16"/>
        <w:tabs>
          <w:tab w:val="left" w:pos="540"/>
        </w:tabs>
        <w:spacing w:line="380" w:lineRule="exact"/>
        <w:ind w:left="235" w:leftChars="56" w:hanging="117" w:hangingChars="49"/>
        <w:jc w:val="left"/>
        <w:rPr>
          <w:rFonts w:hint="eastAsia" w:ascii="仿宋" w:hAnsi="仿宋" w:eastAsia="仿宋" w:cs="仿宋"/>
          <w:b w:val="0"/>
          <w:bCs/>
          <w:color w:val="FF0000"/>
          <w:sz w:val="24"/>
          <w:szCs w:val="24"/>
          <w:highlight w:val="none"/>
        </w:rPr>
      </w:pPr>
      <w:r>
        <w:rPr>
          <w:rFonts w:hint="eastAsia" w:ascii="仿宋" w:hAnsi="仿宋" w:eastAsia="仿宋" w:cs="仿宋"/>
          <w:b w:val="0"/>
          <w:bCs/>
          <w:color w:val="FF0000"/>
          <w:sz w:val="24"/>
          <w:szCs w:val="24"/>
          <w:highlight w:val="none"/>
        </w:rPr>
        <w:t>尿液干化学分析仪</w:t>
      </w:r>
      <w:r>
        <w:rPr>
          <w:rFonts w:hint="eastAsia" w:ascii="仿宋" w:hAnsi="仿宋" w:eastAsia="仿宋" w:cs="仿宋"/>
          <w:b w:val="0"/>
          <w:bCs/>
          <w:color w:val="FF0000"/>
          <w:sz w:val="24"/>
          <w:szCs w:val="24"/>
          <w:highlight w:val="none"/>
          <w:lang w:eastAsia="zh-CN"/>
        </w:rPr>
        <w:t>、</w:t>
      </w:r>
      <w:r>
        <w:rPr>
          <w:rFonts w:hint="eastAsia" w:ascii="仿宋" w:hAnsi="仿宋" w:eastAsia="仿宋" w:cs="仿宋"/>
          <w:b w:val="0"/>
          <w:bCs/>
          <w:color w:val="FF0000"/>
          <w:sz w:val="24"/>
          <w:szCs w:val="24"/>
          <w:highlight w:val="none"/>
        </w:rPr>
        <w:t>尿液有形成分分析仪</w:t>
      </w:r>
    </w:p>
    <w:p w14:paraId="2A4DEB96">
      <w:pPr>
        <w:pStyle w:val="16"/>
        <w:tabs>
          <w:tab w:val="left" w:pos="540"/>
        </w:tabs>
        <w:spacing w:line="380" w:lineRule="exact"/>
        <w:ind w:left="235" w:leftChars="56" w:hanging="117" w:hangingChars="49"/>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用途：</w:t>
      </w:r>
    </w:p>
    <w:p w14:paraId="01603542">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主要用于尿液常规的自动化检测，提高标本检测速度，降低人工操作的误差。对尿路感染、肾盂肾炎、膀胱炎、肾结石等泌尿系统方面病人的辅助诊断和疗效评估起到重要作用。</w:t>
      </w:r>
    </w:p>
    <w:p w14:paraId="7A70CD92">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为临床医务人员及医学生提供科研与培训教学等工作。  </w:t>
      </w:r>
    </w:p>
    <w:p w14:paraId="2EB3551F">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技术参数：</w:t>
      </w:r>
    </w:p>
    <w:p w14:paraId="560E6F8A">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参数要求：</w:t>
      </w:r>
    </w:p>
    <w:p w14:paraId="2C0DE1B0">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尿液干化学分析仪</w:t>
      </w:r>
      <w:r>
        <w:rPr>
          <w:rFonts w:hint="eastAsia" w:ascii="仿宋" w:hAnsi="仿宋" w:eastAsia="仿宋" w:cs="仿宋"/>
          <w:b w:val="0"/>
          <w:bCs/>
          <w:color w:val="FF0000"/>
          <w:sz w:val="24"/>
          <w:szCs w:val="24"/>
          <w:highlight w:val="none"/>
          <w:lang w:eastAsia="zh-CN"/>
        </w:rPr>
        <w:t>、</w:t>
      </w:r>
      <w:r>
        <w:rPr>
          <w:rFonts w:hint="eastAsia" w:ascii="仿宋" w:hAnsi="仿宋" w:eastAsia="仿宋" w:cs="仿宋"/>
          <w:b w:val="0"/>
          <w:bCs/>
          <w:color w:val="auto"/>
          <w:sz w:val="24"/>
          <w:szCs w:val="24"/>
          <w:highlight w:val="none"/>
        </w:rPr>
        <w:t>尿液有形成分分析仪均为同一制造厂家生产的一体化尿液分析流水线，系统兼容性强；</w:t>
      </w:r>
    </w:p>
    <w:p w14:paraId="329CB068">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校准：在</w:t>
      </w:r>
      <w:r>
        <w:rPr>
          <w:rFonts w:hint="eastAsia" w:ascii="仿宋" w:hAnsi="仿宋" w:eastAsia="仿宋" w:cs="仿宋"/>
          <w:b w:val="0"/>
          <w:bCs/>
          <w:color w:val="auto"/>
          <w:sz w:val="24"/>
          <w:szCs w:val="24"/>
          <w:highlight w:val="none"/>
          <w:lang w:val="en-US" w:eastAsia="zh-CN"/>
        </w:rPr>
        <w:t>设备</w:t>
      </w:r>
      <w:r>
        <w:rPr>
          <w:rFonts w:hint="eastAsia" w:ascii="仿宋" w:hAnsi="仿宋" w:eastAsia="仿宋" w:cs="仿宋"/>
          <w:b w:val="0"/>
          <w:bCs/>
          <w:color w:val="auto"/>
          <w:sz w:val="24"/>
          <w:szCs w:val="24"/>
          <w:highlight w:val="none"/>
        </w:rPr>
        <w:t>使用期间，每年按相关行业标准及科室管理要求对设备进行定期校准与维护保养（含软硬件），以满足三甲医院等级评审和ISO15189 医学实验室认可对质量管理的相关要求，所需费用包含在中标价内。若因仪器性能不佳导致无法满足实验室质量要求时，应适当增加校准次数，保证仪器的正常使用</w:t>
      </w:r>
      <w:r>
        <w:rPr>
          <w:rFonts w:hint="eastAsia" w:ascii="仿宋" w:hAnsi="仿宋" w:eastAsia="仿宋" w:cs="仿宋"/>
          <w:b w:val="0"/>
          <w:bCs/>
          <w:color w:val="auto"/>
          <w:sz w:val="24"/>
          <w:szCs w:val="24"/>
          <w:highlight w:val="none"/>
          <w:lang w:eastAsia="zh-CN"/>
        </w:rPr>
        <w:t>；</w:t>
      </w:r>
    </w:p>
    <w:p w14:paraId="44BBD261">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设备使用年限≥</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 xml:space="preserve">年 </w:t>
      </w:r>
      <w:r>
        <w:rPr>
          <w:rFonts w:hint="eastAsia" w:ascii="仿宋" w:hAnsi="仿宋" w:eastAsia="仿宋" w:cs="仿宋"/>
          <w:b w:val="0"/>
          <w:bCs/>
          <w:color w:val="auto"/>
          <w:sz w:val="24"/>
          <w:szCs w:val="24"/>
          <w:highlight w:val="none"/>
          <w:lang w:eastAsia="zh-CN"/>
        </w:rPr>
        <w:t>；</w:t>
      </w:r>
    </w:p>
    <w:p w14:paraId="18CE01E6">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性能验证：按实验室管理要求完成</w:t>
      </w:r>
      <w:r>
        <w:rPr>
          <w:rFonts w:hint="eastAsia" w:ascii="仿宋" w:hAnsi="仿宋" w:eastAsia="仿宋" w:cs="仿宋"/>
          <w:b w:val="0"/>
          <w:bCs/>
          <w:color w:val="auto"/>
          <w:sz w:val="24"/>
          <w:szCs w:val="24"/>
          <w:highlight w:val="none"/>
          <w:lang w:val="en-US" w:eastAsia="zh-CN"/>
        </w:rPr>
        <w:t>设备</w:t>
      </w:r>
      <w:r>
        <w:rPr>
          <w:rFonts w:hint="eastAsia" w:ascii="仿宋" w:hAnsi="仿宋" w:eastAsia="仿宋" w:cs="仿宋"/>
          <w:b w:val="0"/>
          <w:bCs/>
          <w:color w:val="auto"/>
          <w:sz w:val="24"/>
          <w:szCs w:val="24"/>
          <w:highlight w:val="none"/>
        </w:rPr>
        <w:t>启用前的性能验证工作，所需费用包含在中标价内</w:t>
      </w:r>
      <w:r>
        <w:rPr>
          <w:rFonts w:hint="eastAsia" w:ascii="仿宋" w:hAnsi="仿宋" w:eastAsia="仿宋" w:cs="仿宋"/>
          <w:b w:val="0"/>
          <w:bCs/>
          <w:color w:val="auto"/>
          <w:sz w:val="24"/>
          <w:szCs w:val="24"/>
          <w:highlight w:val="none"/>
          <w:lang w:eastAsia="zh-CN"/>
        </w:rPr>
        <w:t>；</w:t>
      </w:r>
    </w:p>
    <w:p w14:paraId="08C87413">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同一批号试剂可持续供货时间≥6个月，提供至医院的试剂有效期≥6个月;失效试剂由中标人负责处理，所有费用由中标人负责</w:t>
      </w:r>
      <w:r>
        <w:rPr>
          <w:rFonts w:hint="eastAsia" w:ascii="仿宋" w:hAnsi="仿宋" w:eastAsia="仿宋" w:cs="仿宋"/>
          <w:b w:val="0"/>
          <w:bCs/>
          <w:color w:val="auto"/>
          <w:sz w:val="24"/>
          <w:szCs w:val="24"/>
          <w:highlight w:val="none"/>
          <w:lang w:eastAsia="zh-CN"/>
        </w:rPr>
        <w:t>；</w:t>
      </w:r>
    </w:p>
    <w:p w14:paraId="1638E294">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提供与</w:t>
      </w:r>
      <w:r>
        <w:rPr>
          <w:rFonts w:hint="eastAsia" w:ascii="仿宋" w:hAnsi="仿宋" w:eastAsia="仿宋" w:cs="仿宋"/>
          <w:b w:val="0"/>
          <w:bCs/>
          <w:color w:val="auto"/>
          <w:sz w:val="24"/>
          <w:szCs w:val="24"/>
          <w:highlight w:val="none"/>
          <w:lang w:val="en-US" w:eastAsia="zh-CN"/>
        </w:rPr>
        <w:t>设备</w:t>
      </w:r>
      <w:r>
        <w:rPr>
          <w:rFonts w:hint="eastAsia" w:ascii="仿宋" w:hAnsi="仿宋" w:eastAsia="仿宋" w:cs="仿宋"/>
          <w:b w:val="0"/>
          <w:bCs/>
          <w:color w:val="auto"/>
          <w:sz w:val="24"/>
          <w:szCs w:val="24"/>
          <w:highlight w:val="none"/>
        </w:rPr>
        <w:t>配套的试剂、定标液、质控品，与仪器形成完整的具备溯源性的检测体系，以保证检测质量</w:t>
      </w:r>
      <w:r>
        <w:rPr>
          <w:rFonts w:hint="eastAsia" w:ascii="仿宋" w:hAnsi="仿宋" w:eastAsia="仿宋" w:cs="仿宋"/>
          <w:b w:val="0"/>
          <w:bCs/>
          <w:color w:val="auto"/>
          <w:sz w:val="24"/>
          <w:szCs w:val="24"/>
          <w:highlight w:val="none"/>
          <w:lang w:eastAsia="zh-CN"/>
        </w:rPr>
        <w:t>；</w:t>
      </w:r>
    </w:p>
    <w:p w14:paraId="7A7AECF6">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检测方法及原理：</w:t>
      </w:r>
      <w:r>
        <w:rPr>
          <w:rFonts w:hint="eastAsia" w:ascii="仿宋" w:hAnsi="仿宋" w:eastAsia="仿宋" w:cs="仿宋"/>
          <w:b w:val="0"/>
          <w:bCs/>
          <w:color w:val="auto"/>
          <w:sz w:val="24"/>
          <w:szCs w:val="24"/>
          <w:highlight w:val="none"/>
          <w:lang w:val="en-US" w:eastAsia="zh-CN"/>
        </w:rPr>
        <w:t>尿干化学：</w:t>
      </w:r>
      <w:r>
        <w:rPr>
          <w:rFonts w:hint="eastAsia" w:ascii="仿宋" w:hAnsi="仿宋" w:eastAsia="仿宋" w:cs="仿宋"/>
          <w:b w:val="0"/>
          <w:bCs/>
          <w:color w:val="auto"/>
          <w:sz w:val="24"/>
          <w:szCs w:val="24"/>
          <w:highlight w:val="none"/>
        </w:rPr>
        <w:t>反射光度计法+折射仪法</w:t>
      </w:r>
      <w:r>
        <w:rPr>
          <w:rFonts w:hint="eastAsia" w:ascii="仿宋" w:hAnsi="仿宋" w:eastAsia="仿宋" w:cs="仿宋"/>
          <w:b w:val="0"/>
          <w:bCs/>
          <w:color w:val="FF0000"/>
          <w:sz w:val="24"/>
          <w:szCs w:val="24"/>
          <w:highlight w:val="none"/>
          <w:lang w:eastAsia="zh-CN"/>
        </w:rPr>
        <w:t>。</w:t>
      </w:r>
      <w:r>
        <w:rPr>
          <w:rFonts w:hint="eastAsia" w:ascii="仿宋" w:hAnsi="仿宋" w:eastAsia="仿宋" w:cs="仿宋"/>
          <w:b w:val="0"/>
          <w:bCs/>
          <w:color w:val="auto"/>
          <w:sz w:val="24"/>
          <w:szCs w:val="24"/>
          <w:highlight w:val="none"/>
          <w:lang w:val="en-US" w:eastAsia="zh-CN"/>
        </w:rPr>
        <w:t>尿有形成分：形态学分析、</w:t>
      </w:r>
      <w:r>
        <w:rPr>
          <w:rFonts w:hint="eastAsia" w:ascii="仿宋" w:hAnsi="仿宋" w:eastAsia="仿宋" w:cs="仿宋"/>
          <w:b w:val="0"/>
          <w:bCs/>
          <w:color w:val="auto"/>
          <w:sz w:val="24"/>
          <w:szCs w:val="24"/>
          <w:highlight w:val="none"/>
        </w:rPr>
        <w:t xml:space="preserve">显微镜数码成像技术原理；  </w:t>
      </w:r>
    </w:p>
    <w:p w14:paraId="32DCD889">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★报告参数：尿干化学可报告参数≥1</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项（</w:t>
      </w:r>
      <w:r>
        <w:rPr>
          <w:rFonts w:hint="eastAsia" w:ascii="仿宋" w:hAnsi="仿宋" w:eastAsia="仿宋" w:cs="仿宋"/>
          <w:b w:val="0"/>
          <w:bCs/>
          <w:color w:val="auto"/>
          <w:sz w:val="24"/>
          <w:szCs w:val="24"/>
          <w:highlight w:val="none"/>
          <w:lang w:val="en-US" w:eastAsia="zh-CN"/>
        </w:rPr>
        <w:t>涵盖</w:t>
      </w:r>
      <w:r>
        <w:rPr>
          <w:rFonts w:hint="eastAsia" w:ascii="仿宋" w:hAnsi="仿宋" w:eastAsia="仿宋" w:cs="仿宋"/>
          <w:b w:val="0"/>
          <w:bCs/>
          <w:color w:val="auto"/>
          <w:sz w:val="24"/>
          <w:szCs w:val="24"/>
          <w:highlight w:val="none"/>
        </w:rPr>
        <w:t>胆红素、尿胆原、酮体、尿糖、蛋白、红细胞、</w:t>
      </w:r>
      <w:r>
        <w:rPr>
          <w:rFonts w:hint="eastAsia" w:ascii="仿宋" w:hAnsi="仿宋" w:eastAsia="仿宋" w:cs="仿宋"/>
          <w:b w:val="0"/>
          <w:bCs/>
          <w:color w:val="auto"/>
          <w:sz w:val="24"/>
          <w:szCs w:val="24"/>
          <w:highlight w:val="none"/>
          <w:lang w:val="en-US" w:eastAsia="zh-CN"/>
        </w:rPr>
        <w:t>P</w:t>
      </w:r>
      <w:r>
        <w:rPr>
          <w:rFonts w:hint="eastAsia" w:ascii="仿宋" w:hAnsi="仿宋" w:eastAsia="仿宋" w:cs="仿宋"/>
          <w:b w:val="0"/>
          <w:bCs/>
          <w:color w:val="auto"/>
          <w:sz w:val="24"/>
          <w:szCs w:val="24"/>
          <w:highlight w:val="none"/>
        </w:rPr>
        <w:t>H值、白细胞、尿比重、亚硝酸盐、</w:t>
      </w:r>
      <w:r>
        <w:rPr>
          <w:rFonts w:hint="eastAsia" w:ascii="仿宋" w:hAnsi="仿宋" w:eastAsia="仿宋" w:cs="仿宋"/>
          <w:b w:val="0"/>
          <w:bCs/>
          <w:color w:val="auto"/>
          <w:sz w:val="24"/>
          <w:szCs w:val="24"/>
          <w:highlight w:val="none"/>
          <w:lang w:val="en-US" w:eastAsia="zh-CN"/>
        </w:rPr>
        <w:t>抗坏血酸、</w:t>
      </w:r>
      <w:r>
        <w:rPr>
          <w:rFonts w:hint="eastAsia" w:ascii="仿宋" w:hAnsi="仿宋" w:eastAsia="仿宋" w:cs="仿宋"/>
          <w:b w:val="0"/>
          <w:bCs/>
          <w:color w:val="auto"/>
          <w:sz w:val="24"/>
          <w:szCs w:val="24"/>
          <w:highlight w:val="none"/>
        </w:rPr>
        <w:t>浊度、颜色</w:t>
      </w:r>
      <w:r>
        <w:rPr>
          <w:rFonts w:hint="eastAsia" w:ascii="仿宋" w:hAnsi="仿宋" w:eastAsia="仿宋" w:cs="仿宋"/>
          <w:b w:val="0"/>
          <w:bCs/>
          <w:color w:val="auto"/>
          <w:sz w:val="24"/>
          <w:szCs w:val="24"/>
          <w:highlight w:val="none"/>
          <w:lang w:val="en-US" w:eastAsia="zh-CN"/>
        </w:rPr>
        <w:t>等项目</w:t>
      </w:r>
      <w:r>
        <w:rPr>
          <w:rFonts w:hint="eastAsia" w:ascii="仿宋" w:hAnsi="仿宋" w:eastAsia="仿宋" w:cs="仿宋"/>
          <w:b w:val="0"/>
          <w:bCs/>
          <w:color w:val="auto"/>
          <w:sz w:val="24"/>
          <w:szCs w:val="24"/>
          <w:highlight w:val="none"/>
        </w:rPr>
        <w:t>），尿有形成分可报告参数≥12项（</w:t>
      </w:r>
      <w:r>
        <w:rPr>
          <w:rFonts w:hint="eastAsia" w:ascii="仿宋" w:hAnsi="仿宋" w:eastAsia="仿宋" w:cs="仿宋"/>
          <w:b w:val="0"/>
          <w:bCs/>
          <w:color w:val="auto"/>
          <w:sz w:val="24"/>
          <w:szCs w:val="24"/>
          <w:highlight w:val="none"/>
          <w:lang w:val="en-US" w:eastAsia="zh-CN"/>
        </w:rPr>
        <w:t>涵盖</w:t>
      </w:r>
      <w:r>
        <w:rPr>
          <w:rFonts w:hint="eastAsia" w:ascii="仿宋" w:hAnsi="仿宋" w:eastAsia="仿宋" w:cs="仿宋"/>
          <w:b w:val="0"/>
          <w:bCs/>
          <w:color w:val="auto"/>
          <w:sz w:val="24"/>
          <w:szCs w:val="24"/>
          <w:highlight w:val="none"/>
        </w:rPr>
        <w:t>红细胞、白细胞、结晶</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透明管型、病理管型、非鳞状上皮细胞、鳞状上皮细胞、酵母菌、粘液丝、精子、细菌</w:t>
      </w:r>
      <w:r>
        <w:rPr>
          <w:rFonts w:hint="eastAsia" w:ascii="仿宋" w:hAnsi="仿宋" w:eastAsia="仿宋" w:cs="仿宋"/>
          <w:b w:val="0"/>
          <w:bCs/>
          <w:color w:val="auto"/>
          <w:sz w:val="24"/>
          <w:szCs w:val="24"/>
          <w:highlight w:val="none"/>
          <w:lang w:val="en-US" w:eastAsia="zh-CN"/>
        </w:rPr>
        <w:t>等方面</w:t>
      </w:r>
      <w:r>
        <w:rPr>
          <w:rFonts w:hint="eastAsia" w:ascii="仿宋" w:hAnsi="仿宋" w:eastAsia="仿宋" w:cs="仿宋"/>
          <w:b w:val="0"/>
          <w:bCs/>
          <w:color w:val="auto"/>
          <w:sz w:val="24"/>
          <w:szCs w:val="24"/>
          <w:highlight w:val="none"/>
        </w:rPr>
        <w:t>）；</w:t>
      </w:r>
    </w:p>
    <w:p w14:paraId="41AA5B16">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检测速度：尿干化学≥220测试/小时，尿有形成分≥100测试/小时；</w:t>
      </w:r>
    </w:p>
    <w:p w14:paraId="230C0BC2">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检测最小样本量：≤3ml；</w:t>
      </w:r>
    </w:p>
    <w:p w14:paraId="2FED0700">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结果储存能力：</w:t>
      </w:r>
      <w:r>
        <w:rPr>
          <w:rFonts w:hint="eastAsia" w:ascii="仿宋" w:hAnsi="仿宋" w:eastAsia="仿宋" w:cs="仿宋"/>
          <w:b w:val="0"/>
          <w:bCs/>
          <w:color w:val="auto"/>
          <w:sz w:val="24"/>
          <w:szCs w:val="24"/>
          <w:highlight w:val="none"/>
        </w:rPr>
        <w:t>尿干化学≥</w:t>
      </w:r>
      <w:r>
        <w:rPr>
          <w:rFonts w:hint="eastAsia" w:ascii="仿宋" w:hAnsi="仿宋" w:eastAsia="仿宋" w:cs="仿宋"/>
          <w:b w:val="0"/>
          <w:bCs/>
          <w:color w:val="auto"/>
          <w:sz w:val="24"/>
          <w:szCs w:val="24"/>
          <w:highlight w:val="none"/>
          <w:lang w:val="en-US" w:eastAsia="zh-CN"/>
        </w:rPr>
        <w:t>1万个</w:t>
      </w:r>
      <w:r>
        <w:rPr>
          <w:rFonts w:hint="eastAsia" w:ascii="仿宋" w:hAnsi="仿宋" w:eastAsia="仿宋" w:cs="仿宋"/>
          <w:b w:val="0"/>
          <w:bCs/>
          <w:color w:val="auto"/>
          <w:sz w:val="24"/>
          <w:szCs w:val="24"/>
          <w:highlight w:val="none"/>
        </w:rPr>
        <w:t>，尿有形成分≥</w:t>
      </w:r>
      <w:r>
        <w:rPr>
          <w:rFonts w:hint="eastAsia" w:ascii="仿宋" w:hAnsi="仿宋" w:eastAsia="仿宋" w:cs="仿宋"/>
          <w:b w:val="0"/>
          <w:bCs/>
          <w:color w:val="auto"/>
          <w:sz w:val="24"/>
          <w:szCs w:val="24"/>
          <w:highlight w:val="none"/>
          <w:lang w:val="en-US" w:eastAsia="zh-CN"/>
        </w:rPr>
        <w:t>2万个</w:t>
      </w:r>
      <w:r>
        <w:rPr>
          <w:rFonts w:hint="eastAsia" w:ascii="仿宋" w:hAnsi="仿宋" w:eastAsia="仿宋" w:cs="仿宋"/>
          <w:b w:val="0"/>
          <w:bCs/>
          <w:color w:val="auto"/>
          <w:sz w:val="24"/>
          <w:szCs w:val="24"/>
          <w:highlight w:val="none"/>
        </w:rPr>
        <w:t>；</w:t>
      </w:r>
    </w:p>
    <w:p w14:paraId="7D9E7979">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报告方式：</w:t>
      </w:r>
      <w:r>
        <w:rPr>
          <w:rFonts w:hint="eastAsia" w:ascii="仿宋" w:hAnsi="仿宋" w:eastAsia="仿宋" w:cs="仿宋"/>
          <w:b w:val="0"/>
          <w:bCs/>
          <w:color w:val="auto"/>
          <w:sz w:val="24"/>
          <w:szCs w:val="24"/>
          <w:highlight w:val="none"/>
        </w:rPr>
        <w:t>尿干化学</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传统单位、国际单位</w:t>
      </w:r>
      <w:r>
        <w:rPr>
          <w:rFonts w:hint="eastAsia" w:ascii="仿宋" w:hAnsi="仿宋" w:eastAsia="仿宋" w:cs="仿宋"/>
          <w:b w:val="0"/>
          <w:bCs/>
          <w:color w:val="FF0000"/>
          <w:sz w:val="24"/>
          <w:szCs w:val="24"/>
          <w:highlight w:val="none"/>
          <w:lang w:val="en-US" w:eastAsia="zh-CN"/>
        </w:rPr>
        <w:t>。</w:t>
      </w:r>
      <w:r>
        <w:rPr>
          <w:rFonts w:hint="eastAsia" w:ascii="仿宋" w:hAnsi="仿宋" w:eastAsia="仿宋" w:cs="仿宋"/>
          <w:b w:val="0"/>
          <w:bCs/>
          <w:color w:val="auto"/>
          <w:sz w:val="24"/>
          <w:szCs w:val="24"/>
          <w:highlight w:val="none"/>
        </w:rPr>
        <w:t>尿有形成分</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个/</w:t>
      </w:r>
      <w:r>
        <w:rPr>
          <w:rFonts w:hint="eastAsia" w:ascii="仿宋" w:hAnsi="仿宋" w:eastAsia="仿宋" w:cs="仿宋"/>
          <w:b w:val="0"/>
          <w:bCs/>
          <w:color w:val="auto"/>
          <w:sz w:val="24"/>
          <w:szCs w:val="24"/>
          <w:highlight w:val="none"/>
        </w:rPr>
        <w:t>μ</w:t>
      </w:r>
      <w:r>
        <w:rPr>
          <w:rFonts w:hint="eastAsia" w:ascii="仿宋" w:hAnsi="仿宋" w:eastAsia="仿宋" w:cs="仿宋"/>
          <w:b w:val="0"/>
          <w:bCs/>
          <w:color w:val="auto"/>
          <w:sz w:val="24"/>
          <w:szCs w:val="24"/>
          <w:highlight w:val="none"/>
          <w:lang w:val="en-US" w:eastAsia="zh-CN"/>
        </w:rPr>
        <w:t>l 国际通用定量单位（或个/HPF可选）</w:t>
      </w:r>
      <w:r>
        <w:rPr>
          <w:rFonts w:hint="eastAsia" w:ascii="仿宋" w:hAnsi="仿宋" w:eastAsia="仿宋" w:cs="仿宋"/>
          <w:b w:val="0"/>
          <w:bCs/>
          <w:color w:val="auto"/>
          <w:sz w:val="24"/>
          <w:szCs w:val="24"/>
          <w:highlight w:val="none"/>
        </w:rPr>
        <w:t>；</w:t>
      </w:r>
    </w:p>
    <w:p w14:paraId="2A5EF960">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样本识别：自动ID条码扫描；具有双向功能</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中标人负责接入采购人现有LIS系统</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FF0000"/>
          <w:sz w:val="24"/>
          <w:szCs w:val="24"/>
          <w:highlight w:val="none"/>
          <w:lang w:val="en-US" w:eastAsia="zh-CN"/>
        </w:rPr>
        <w:t>所需费用由中标人负责</w:t>
      </w:r>
      <w:r>
        <w:rPr>
          <w:rFonts w:hint="eastAsia" w:ascii="仿宋" w:hAnsi="仿宋" w:eastAsia="仿宋" w:cs="仿宋"/>
          <w:b w:val="0"/>
          <w:bCs/>
          <w:color w:val="FF0000"/>
          <w:sz w:val="24"/>
          <w:szCs w:val="24"/>
          <w:highlight w:val="none"/>
        </w:rPr>
        <w:t>；</w:t>
      </w:r>
      <w:r>
        <w:rPr>
          <w:rFonts w:hint="eastAsia" w:ascii="仿宋" w:hAnsi="仿宋" w:eastAsia="仿宋" w:cs="仿宋"/>
          <w:b w:val="0"/>
          <w:bCs/>
          <w:color w:val="auto"/>
          <w:sz w:val="24"/>
          <w:szCs w:val="24"/>
          <w:highlight w:val="none"/>
        </w:rPr>
        <w:t>若因仪器接入而需对医院现有系统进行改造或升级，所产生的费用由中标人负责</w:t>
      </w:r>
      <w:r>
        <w:rPr>
          <w:rFonts w:hint="eastAsia" w:ascii="仿宋" w:hAnsi="仿宋" w:eastAsia="仿宋" w:cs="仿宋"/>
          <w:b w:val="0"/>
          <w:bCs/>
          <w:color w:val="auto"/>
          <w:sz w:val="24"/>
          <w:szCs w:val="24"/>
          <w:highlight w:val="none"/>
          <w:lang w:eastAsia="zh-CN"/>
        </w:rPr>
        <w:t>；</w:t>
      </w:r>
    </w:p>
    <w:p w14:paraId="0601C99A">
      <w:pPr>
        <w:numPr>
          <w:ilvl w:val="0"/>
          <w:numId w:val="5"/>
        </w:numPr>
        <w:spacing w:line="440" w:lineRule="exact"/>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rPr>
        <w:t>可根据医院的发展需求</w:t>
      </w:r>
      <w:r>
        <w:rPr>
          <w:rFonts w:hint="eastAsia" w:ascii="仿宋" w:hAnsi="仿宋" w:eastAsia="仿宋" w:cs="仿宋"/>
          <w:b w:val="0"/>
          <w:bCs/>
          <w:color w:val="auto"/>
          <w:sz w:val="24"/>
          <w:szCs w:val="24"/>
          <w:highlight w:val="none"/>
          <w:lang w:val="en-US" w:eastAsia="zh-CN"/>
        </w:rPr>
        <w:t>免费</w:t>
      </w:r>
      <w:r>
        <w:rPr>
          <w:rFonts w:hint="eastAsia" w:ascii="仿宋" w:hAnsi="仿宋" w:eastAsia="仿宋" w:cs="仿宋"/>
          <w:b w:val="0"/>
          <w:bCs/>
          <w:color w:val="auto"/>
          <w:sz w:val="24"/>
          <w:szCs w:val="24"/>
          <w:highlight w:val="none"/>
        </w:rPr>
        <w:t>升级</w:t>
      </w:r>
      <w:r>
        <w:rPr>
          <w:rFonts w:hint="eastAsia" w:ascii="仿宋" w:hAnsi="仿宋" w:eastAsia="仿宋" w:cs="仿宋"/>
          <w:b w:val="0"/>
          <w:bCs/>
          <w:color w:val="auto"/>
          <w:sz w:val="24"/>
          <w:szCs w:val="24"/>
          <w:highlight w:val="none"/>
          <w:lang w:val="en-US" w:eastAsia="zh-CN"/>
        </w:rPr>
        <w:t>设备；</w:t>
      </w:r>
    </w:p>
    <w:p w14:paraId="77E0E717">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原厂配套试剂、质控及校准品，有完整的溯源体系，符合ISO15189质量体系要求</w:t>
      </w:r>
      <w:r>
        <w:rPr>
          <w:rFonts w:hint="eastAsia" w:ascii="仿宋" w:hAnsi="仿宋" w:eastAsia="仿宋" w:cs="仿宋"/>
          <w:b w:val="0"/>
          <w:bCs/>
          <w:color w:val="auto"/>
          <w:sz w:val="24"/>
          <w:szCs w:val="24"/>
          <w:highlight w:val="none"/>
          <w:lang w:eastAsia="zh-CN"/>
        </w:rPr>
        <w:t>；</w:t>
      </w:r>
    </w:p>
    <w:p w14:paraId="5EB0CE9E">
      <w:pPr>
        <w:numPr>
          <w:ilvl w:val="0"/>
          <w:numId w:val="5"/>
        </w:num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提供完整的耗材单人份成本，该成本包括但不限于试剂、耗材、耗品、质控品、定标液、清洗液等</w:t>
      </w:r>
      <w:r>
        <w:rPr>
          <w:rFonts w:hint="eastAsia" w:ascii="仿宋" w:hAnsi="仿宋" w:eastAsia="仿宋" w:cs="仿宋"/>
          <w:b w:val="0"/>
          <w:bCs/>
          <w:color w:val="auto"/>
          <w:sz w:val="24"/>
          <w:szCs w:val="24"/>
          <w:highlight w:val="none"/>
        </w:rPr>
        <w:t>。耗材</w:t>
      </w:r>
      <w:r>
        <w:rPr>
          <w:rFonts w:hint="eastAsia" w:ascii="仿宋" w:hAnsi="仿宋" w:eastAsia="仿宋" w:cs="仿宋"/>
          <w:b w:val="0"/>
          <w:bCs/>
          <w:color w:val="auto"/>
          <w:sz w:val="24"/>
          <w:szCs w:val="24"/>
          <w:highlight w:val="none"/>
          <w:lang w:val="en-US" w:eastAsia="zh-CN"/>
        </w:rPr>
        <w:t>成本</w:t>
      </w:r>
      <w:r>
        <w:rPr>
          <w:rFonts w:hint="eastAsia" w:ascii="仿宋" w:hAnsi="仿宋" w:eastAsia="仿宋" w:cs="仿宋"/>
          <w:b w:val="0"/>
          <w:bCs/>
          <w:color w:val="auto"/>
          <w:sz w:val="24"/>
          <w:szCs w:val="24"/>
          <w:highlight w:val="none"/>
        </w:rPr>
        <w:t>不超过</w:t>
      </w:r>
      <w:r>
        <w:rPr>
          <w:rFonts w:hint="eastAsia" w:ascii="仿宋" w:hAnsi="仿宋" w:eastAsia="仿宋" w:cs="仿宋"/>
          <w:b w:val="0"/>
          <w:bCs/>
          <w:color w:val="auto"/>
          <w:sz w:val="24"/>
          <w:szCs w:val="24"/>
          <w:highlight w:val="none"/>
          <w:lang w:eastAsia="zh-CN"/>
        </w:rPr>
        <w:t>《中山市公立医疗机构基本医疗服务价格项目》</w:t>
      </w:r>
      <w:r>
        <w:rPr>
          <w:rFonts w:hint="eastAsia" w:ascii="仿宋" w:hAnsi="仿宋" w:eastAsia="仿宋" w:cs="仿宋"/>
          <w:b w:val="0"/>
          <w:bCs/>
          <w:color w:val="auto"/>
          <w:sz w:val="24"/>
          <w:szCs w:val="24"/>
          <w:highlight w:val="none"/>
          <w:lang w:val="en-US" w:eastAsia="zh-CN"/>
        </w:rPr>
        <w:t>物价收费的30%</w:t>
      </w:r>
      <w:r>
        <w:rPr>
          <w:rFonts w:hint="eastAsia" w:ascii="仿宋" w:hAnsi="仿宋" w:eastAsia="仿宋" w:cs="仿宋"/>
          <w:b w:val="0"/>
          <w:bCs/>
          <w:color w:val="auto"/>
          <w:sz w:val="24"/>
          <w:szCs w:val="24"/>
          <w:highlight w:val="none"/>
        </w:rPr>
        <w:t>（尿干化学</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尿有形成分）</w:t>
      </w:r>
      <w:r>
        <w:rPr>
          <w:rFonts w:hint="eastAsia" w:ascii="仿宋" w:hAnsi="仿宋" w:eastAsia="仿宋" w:cs="仿宋"/>
          <w:b w:val="0"/>
          <w:bCs/>
          <w:color w:val="auto"/>
          <w:sz w:val="24"/>
          <w:szCs w:val="24"/>
          <w:highlight w:val="none"/>
          <w:lang w:eastAsia="zh-CN"/>
        </w:rPr>
        <w:t>。</w:t>
      </w:r>
    </w:p>
    <w:p w14:paraId="6195B8BA">
      <w:pPr>
        <w:spacing w:line="440" w:lineRule="exact"/>
        <w:rPr>
          <w:rFonts w:hint="eastAsia" w:ascii="仿宋" w:hAnsi="仿宋" w:eastAsia="仿宋" w:cs="仿宋"/>
          <w:b/>
          <w:color w:val="auto"/>
          <w:sz w:val="24"/>
          <w:szCs w:val="24"/>
          <w:highlight w:val="none"/>
        </w:rPr>
      </w:pPr>
    </w:p>
    <w:p w14:paraId="3B4FCE6F">
      <w:pPr>
        <w:numPr>
          <w:ilvl w:val="0"/>
          <w:numId w:val="4"/>
        </w:num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4490"/>
        <w:gridCol w:w="969"/>
        <w:gridCol w:w="920"/>
      </w:tblGrid>
      <w:tr w14:paraId="7FD5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14:paraId="59C9D85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134" w:type="dxa"/>
          </w:tcPr>
          <w:p w14:paraId="01A259F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4490" w:type="dxa"/>
          </w:tcPr>
          <w:p w14:paraId="0A83733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tc>
        <w:tc>
          <w:tcPr>
            <w:tcW w:w="969" w:type="dxa"/>
          </w:tcPr>
          <w:p w14:paraId="1425C55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920" w:type="dxa"/>
          </w:tcPr>
          <w:p w14:paraId="200ACA1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r>
      <w:tr w14:paraId="6CC8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BF9FA9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34" w:type="dxa"/>
          </w:tcPr>
          <w:p w14:paraId="39A28044">
            <w:pPr>
              <w:spacing w:line="440" w:lineRule="exact"/>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电脑</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操作系统及</w:t>
            </w:r>
            <w:r>
              <w:rPr>
                <w:rFonts w:hint="eastAsia" w:ascii="仿宋" w:hAnsi="仿宋" w:eastAsia="仿宋" w:cs="仿宋"/>
                <w:b w:val="0"/>
                <w:bCs/>
                <w:color w:val="auto"/>
                <w:sz w:val="24"/>
                <w:szCs w:val="24"/>
                <w:highlight w:val="none"/>
                <w:lang w:val="en-US" w:eastAsia="zh-CN"/>
              </w:rPr>
              <w:t>办公椅</w:t>
            </w:r>
            <w:r>
              <w:rPr>
                <w:rFonts w:hint="eastAsia" w:ascii="仿宋" w:hAnsi="仿宋" w:eastAsia="仿宋" w:cs="仿宋"/>
                <w:b w:val="0"/>
                <w:bCs/>
                <w:color w:val="auto"/>
                <w:sz w:val="24"/>
                <w:szCs w:val="24"/>
                <w:highlight w:val="none"/>
              </w:rPr>
              <w:t>一套</w:t>
            </w:r>
          </w:p>
        </w:tc>
        <w:tc>
          <w:tcPr>
            <w:tcW w:w="4490" w:type="dxa"/>
          </w:tcPr>
          <w:p w14:paraId="76CCAA5F">
            <w:pPr>
              <w:spacing w:line="360" w:lineRule="auto"/>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电脑为近两年市场上主流品牌配置电脑（</w:t>
            </w:r>
            <w:r>
              <w:rPr>
                <w:rFonts w:hint="eastAsia" w:ascii="仿宋" w:hAnsi="仿宋" w:eastAsia="仿宋" w:cs="仿宋"/>
                <w:b w:val="0"/>
                <w:bCs/>
                <w:color w:val="auto"/>
                <w:sz w:val="24"/>
                <w:szCs w:val="24"/>
                <w:highlight w:val="none"/>
                <w:lang w:val="en-US" w:eastAsia="zh-CN"/>
              </w:rPr>
              <w:t>固态存储≥1T</w:t>
            </w:r>
            <w:r>
              <w:rPr>
                <w:rFonts w:hint="eastAsia" w:ascii="仿宋" w:hAnsi="仿宋" w:eastAsia="仿宋" w:cs="仿宋"/>
                <w:b w:val="0"/>
                <w:bCs/>
                <w:color w:val="auto"/>
                <w:sz w:val="24"/>
                <w:szCs w:val="24"/>
                <w:highlight w:val="none"/>
              </w:rPr>
              <w:t>），显示器≥22寸，操作系统正版windows7以上，操作软件为中文/英文，可多窗口操作；</w:t>
            </w:r>
          </w:p>
        </w:tc>
        <w:tc>
          <w:tcPr>
            <w:tcW w:w="969" w:type="dxa"/>
          </w:tcPr>
          <w:p w14:paraId="3EAEA02D">
            <w:p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920" w:type="dxa"/>
          </w:tcPr>
          <w:p w14:paraId="6E2F90B3">
            <w:p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套</w:t>
            </w:r>
          </w:p>
        </w:tc>
      </w:tr>
      <w:tr w14:paraId="418F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858AD2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134" w:type="dxa"/>
          </w:tcPr>
          <w:p w14:paraId="38AC0851">
            <w:pPr>
              <w:spacing w:line="44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rPr>
              <w:t>UPS</w:t>
            </w:r>
            <w:r>
              <w:rPr>
                <w:rFonts w:hint="eastAsia" w:ascii="仿宋" w:hAnsi="仿宋" w:eastAsia="仿宋" w:cs="仿宋"/>
                <w:b w:val="0"/>
                <w:bCs/>
                <w:color w:val="auto"/>
                <w:sz w:val="24"/>
                <w:szCs w:val="24"/>
                <w:highlight w:val="none"/>
                <w:lang w:val="en-US" w:eastAsia="zh-CN"/>
              </w:rPr>
              <w:t>电源</w:t>
            </w:r>
          </w:p>
        </w:tc>
        <w:tc>
          <w:tcPr>
            <w:tcW w:w="4490" w:type="dxa"/>
          </w:tcPr>
          <w:p w14:paraId="74B2C4D7">
            <w:pPr>
              <w:spacing w:line="440" w:lineRule="exact"/>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免费提供仪器所需的UPS ，AC 220V（波动≤10%），其它参数至少满足仪器说明书要求</w:t>
            </w:r>
          </w:p>
        </w:tc>
        <w:tc>
          <w:tcPr>
            <w:tcW w:w="969" w:type="dxa"/>
          </w:tcPr>
          <w:p w14:paraId="6A7C3AA8">
            <w:p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920" w:type="dxa"/>
          </w:tcPr>
          <w:p w14:paraId="0C3D72B2">
            <w:p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套</w:t>
            </w:r>
          </w:p>
        </w:tc>
      </w:tr>
      <w:tr w14:paraId="7692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9F2F51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134" w:type="dxa"/>
          </w:tcPr>
          <w:p w14:paraId="7F403585">
            <w:pPr>
              <w:spacing w:line="440" w:lineRule="exact"/>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说明书</w:t>
            </w:r>
          </w:p>
        </w:tc>
        <w:tc>
          <w:tcPr>
            <w:tcW w:w="4490" w:type="dxa"/>
          </w:tcPr>
          <w:p w14:paraId="2C88E32E">
            <w:pPr>
              <w:spacing w:line="440" w:lineRule="exact"/>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提供纸质版与电子版仪器操作说明书及标本操作程序文件（SOP）</w:t>
            </w:r>
          </w:p>
        </w:tc>
        <w:tc>
          <w:tcPr>
            <w:tcW w:w="969" w:type="dxa"/>
          </w:tcPr>
          <w:p w14:paraId="64315F04">
            <w:p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920" w:type="dxa"/>
          </w:tcPr>
          <w:p w14:paraId="133F4BB5">
            <w:pPr>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套</w:t>
            </w:r>
          </w:p>
        </w:tc>
      </w:tr>
    </w:tbl>
    <w:p w14:paraId="3B984A28">
      <w:pPr>
        <w:spacing w:line="440" w:lineRule="exact"/>
        <w:rPr>
          <w:rFonts w:ascii="仿宋" w:hAnsi="仿宋" w:eastAsia="仿宋" w:cs="仿宋"/>
          <w:b/>
          <w:color w:val="auto"/>
          <w:sz w:val="24"/>
          <w:highlight w:val="none"/>
        </w:rPr>
      </w:pPr>
    </w:p>
    <w:p w14:paraId="34D76983">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商务要求：</w:t>
      </w:r>
    </w:p>
    <w:p w14:paraId="5D1271C7">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4B9958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w:t>
      </w:r>
      <w:r>
        <w:rPr>
          <w:rFonts w:hint="eastAsia" w:ascii="仿宋_GB2312" w:hAnsi="仿宋_GB2312" w:eastAsia="仿宋_GB2312" w:cs="仿宋_GB2312"/>
          <w:b w:val="0"/>
          <w:bCs/>
          <w:color w:val="auto"/>
          <w:sz w:val="24"/>
          <w:szCs w:val="24"/>
          <w:highlight w:val="none"/>
        </w:rPr>
        <w:t>交货地点：采购人指定地点。</w:t>
      </w:r>
    </w:p>
    <w:p w14:paraId="067A629A">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_GB2312" w:hAnsi="仿宋_GB2312" w:eastAsia="仿宋_GB2312" w:cs="仿宋_GB2312"/>
          <w:b w:val="0"/>
          <w:bCs/>
          <w:color w:val="auto"/>
          <w:sz w:val="24"/>
          <w:szCs w:val="24"/>
          <w:highlight w:val="none"/>
        </w:rPr>
        <w:t>交货期：中标供应商应当在中标通知书发出之日起30日内按采购需求及中标人的投标文件确定的事项与采购人签订合同，签订合同后 30日内完成设备的安装调试。</w:t>
      </w:r>
    </w:p>
    <w:p w14:paraId="1E39B615">
      <w:pPr>
        <w:spacing w:line="440" w:lineRule="exact"/>
        <w:rPr>
          <w:rFonts w:hint="eastAsia" w:ascii="仿宋_GB2312" w:hAnsi="仿宋_GB2312" w:eastAsia="仿宋_GB2312" w:cs="仿宋_GB2312"/>
          <w:b w:val="0"/>
          <w:bCs/>
          <w:color w:val="auto"/>
          <w:sz w:val="24"/>
          <w:szCs w:val="24"/>
          <w:highlight w:val="yellow"/>
        </w:rPr>
      </w:pPr>
      <w:r>
        <w:rPr>
          <w:rFonts w:hint="eastAsia" w:ascii="仿宋" w:hAnsi="仿宋" w:eastAsia="仿宋" w:cs="仿宋"/>
          <w:color w:val="auto"/>
          <w:sz w:val="24"/>
          <w:highlight w:val="none"/>
        </w:rPr>
        <w:t>1.3</w:t>
      </w:r>
      <w:r>
        <w:rPr>
          <w:rFonts w:hint="eastAsia" w:ascii="仿宋_GB2312" w:hAnsi="仿宋_GB2312" w:eastAsia="仿宋_GB2312" w:cs="仿宋_GB2312"/>
          <w:b w:val="0"/>
          <w:bCs/>
          <w:color w:val="auto"/>
          <w:sz w:val="24"/>
          <w:szCs w:val="24"/>
          <w:highlight w:val="none"/>
        </w:rPr>
        <w:t>中标供应商须保证中标后所提供的设备为原装、全新合格的产品；且原装进口产品生产日期与交货日期差值</w:t>
      </w:r>
      <w:r>
        <w:rPr>
          <w:rFonts w:hint="eastAsia" w:ascii="仿宋_GB2312" w:hAnsi="仿宋_GB2312" w:eastAsia="仿宋_GB2312" w:cs="仿宋_GB2312"/>
          <w:b w:val="0"/>
          <w:bCs/>
          <w:color w:val="auto"/>
          <w:sz w:val="24"/>
          <w:szCs w:val="24"/>
          <w:highlight w:val="yellow"/>
        </w:rPr>
        <w:t>≤6个月</w:t>
      </w:r>
      <w:r>
        <w:rPr>
          <w:rFonts w:hint="eastAsia" w:ascii="仿宋_GB2312" w:hAnsi="仿宋_GB2312" w:eastAsia="仿宋_GB2312" w:cs="仿宋_GB2312"/>
          <w:b w:val="0"/>
          <w:bCs/>
          <w:color w:val="auto"/>
          <w:sz w:val="24"/>
          <w:szCs w:val="24"/>
          <w:highlight w:val="none"/>
        </w:rPr>
        <w:t>；国产产品生产日期与交货日期差</w:t>
      </w:r>
      <w:r>
        <w:rPr>
          <w:rFonts w:hint="eastAsia" w:ascii="仿宋_GB2312" w:hAnsi="仿宋_GB2312" w:eastAsia="仿宋_GB2312" w:cs="仿宋_GB2312"/>
          <w:b w:val="0"/>
          <w:bCs/>
          <w:color w:val="auto"/>
          <w:sz w:val="24"/>
          <w:szCs w:val="24"/>
          <w:highlight w:val="yellow"/>
        </w:rPr>
        <w:t>值≤3个月。</w:t>
      </w:r>
    </w:p>
    <w:p w14:paraId="2C90A9D7">
      <w:pPr>
        <w:spacing w:line="360" w:lineRule="auto"/>
        <w:rPr>
          <w:rFonts w:hint="eastAsia" w:ascii="仿宋_GB2312" w:hAnsi="仿宋_GB2312" w:eastAsia="仿宋_GB2312" w:cs="仿宋_GB2312"/>
          <w:b w:val="0"/>
          <w:bCs/>
          <w:color w:val="auto"/>
          <w:sz w:val="24"/>
          <w:szCs w:val="24"/>
          <w:highlight w:val="none"/>
        </w:rPr>
      </w:pPr>
      <w:r>
        <w:rPr>
          <w:rFonts w:hint="eastAsia" w:ascii="仿宋" w:hAnsi="仿宋" w:eastAsia="仿宋" w:cs="仿宋"/>
          <w:color w:val="auto"/>
          <w:sz w:val="24"/>
          <w:highlight w:val="none"/>
        </w:rPr>
        <w:t>1.4</w:t>
      </w:r>
      <w:r>
        <w:rPr>
          <w:rFonts w:hint="eastAsia" w:ascii="仿宋_GB2312" w:hAnsi="仿宋_GB2312" w:eastAsia="仿宋_GB2312" w:cs="仿宋_GB2312"/>
          <w:b w:val="0"/>
          <w:bCs/>
          <w:color w:val="auto"/>
          <w:sz w:val="24"/>
          <w:szCs w:val="24"/>
          <w:highlight w:val="none"/>
        </w:rPr>
        <w:t>中标供应商负责派技术人员到现场进行安装调试，直至验收合格，安装调试所需费用应包含在投标总报价内；同时提供培训服务，必须保证需求科室操作人员融会贯通，培训所需费用全部包含在总报价内。</w:t>
      </w:r>
    </w:p>
    <w:p w14:paraId="10A85A26">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1.5验收方式：按《小榄镇公立医院政府采购和验收办法》。</w:t>
      </w:r>
    </w:p>
    <w:p w14:paraId="7C804654">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39F5EDC">
      <w:pPr>
        <w:spacing w:line="360" w:lineRule="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2.1中标供应商必须在中国境内有售后服务机构，并附有售后服务能力说明。</w:t>
      </w:r>
    </w:p>
    <w:p w14:paraId="660787A9">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★2.2</w:t>
      </w:r>
      <w:r>
        <w:rPr>
          <w:rFonts w:hint="eastAsia" w:ascii="仿宋_GB2312" w:hAnsi="仿宋_GB2312" w:eastAsia="仿宋_GB2312" w:cs="仿宋_GB2312"/>
          <w:b w:val="0"/>
          <w:bCs/>
          <w:color w:val="auto"/>
          <w:sz w:val="24"/>
          <w:szCs w:val="24"/>
          <w:highlight w:val="yellow"/>
          <w:lang w:eastAsia="zh-CN"/>
        </w:rPr>
        <w:t>中标人</w:t>
      </w:r>
      <w:r>
        <w:rPr>
          <w:rFonts w:hint="eastAsia" w:ascii="仿宋_GB2312" w:hAnsi="仿宋_GB2312" w:eastAsia="仿宋_GB2312" w:cs="仿宋_GB2312"/>
          <w:b w:val="0"/>
          <w:bCs/>
          <w:color w:val="auto"/>
          <w:sz w:val="24"/>
          <w:szCs w:val="24"/>
          <w:highlight w:val="yellow"/>
        </w:rPr>
        <w:t>须提供设备</w:t>
      </w:r>
      <w:r>
        <w:rPr>
          <w:rFonts w:hint="eastAsia" w:ascii="仿宋_GB2312" w:hAnsi="仿宋_GB2312" w:eastAsia="仿宋_GB2312" w:cs="仿宋_GB2312"/>
          <w:b w:val="0"/>
          <w:bCs/>
          <w:color w:val="auto"/>
          <w:sz w:val="24"/>
          <w:szCs w:val="24"/>
          <w:highlight w:val="yellow"/>
          <w:lang w:val="en-US" w:eastAsia="zh-CN"/>
        </w:rPr>
        <w:t>整机</w:t>
      </w:r>
      <w:r>
        <w:rPr>
          <w:rFonts w:hint="eastAsia" w:ascii="仿宋_GB2312" w:hAnsi="仿宋_GB2312" w:eastAsia="仿宋_GB2312" w:cs="仿宋_GB2312"/>
          <w:b w:val="0"/>
          <w:bCs/>
          <w:color w:val="auto"/>
          <w:sz w:val="24"/>
          <w:szCs w:val="24"/>
          <w:highlight w:val="yellow"/>
        </w:rPr>
        <w:t>原厂质保（设备原厂质量保修范围和保修期）</w:t>
      </w:r>
      <w:r>
        <w:rPr>
          <w:rFonts w:hint="eastAsia" w:ascii="仿宋_GB2312" w:hAnsi="仿宋_GB2312" w:eastAsia="仿宋_GB2312" w:cs="仿宋_GB2312"/>
          <w:b w:val="0"/>
          <w:bCs/>
          <w:color w:val="auto"/>
          <w:sz w:val="24"/>
          <w:szCs w:val="24"/>
          <w:highlight w:val="yellow"/>
          <w:lang w:val="en-US" w:eastAsia="zh-CN"/>
        </w:rPr>
        <w:t>等于设备的使用年限</w:t>
      </w:r>
      <w:r>
        <w:rPr>
          <w:rFonts w:hint="eastAsia" w:ascii="仿宋_GB2312" w:hAnsi="仿宋_GB2312" w:eastAsia="仿宋_GB2312" w:cs="仿宋_GB2312"/>
          <w:b w:val="0"/>
          <w:bCs/>
          <w:color w:val="auto"/>
          <w:sz w:val="24"/>
          <w:szCs w:val="24"/>
          <w:highlight w:val="none"/>
        </w:rPr>
        <w:t>。</w:t>
      </w:r>
    </w:p>
    <w:p w14:paraId="37BEE5EF">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2.3在售后期内，中标供应商在接到用户的维修通知，响应时间为半小时内，工程师到达现场时间为4小时内，排除故障时限为到达现场后8小时内。</w:t>
      </w:r>
    </w:p>
    <w:p w14:paraId="70DF03AF">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2.4如果产品故障在检修12小时后仍无法排除，中标供应商应在24小时内提供不低于故障产品规格型号档次的备用产品供采购人使用，直至故障产品修复。</w:t>
      </w:r>
    </w:p>
    <w:p w14:paraId="5D5D1B53">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49C68158">
      <w:pPr>
        <w:spacing w:line="360" w:lineRule="auto"/>
        <w:rPr>
          <w:rFonts w:hint="eastAsia" w:ascii="仿宋_GB2312" w:hAnsi="仿宋_GB2312" w:eastAsia="仿宋_GB2312" w:cs="仿宋_GB2312"/>
          <w:b w:val="0"/>
          <w:bCs/>
          <w:color w:val="auto"/>
          <w:sz w:val="24"/>
          <w:szCs w:val="24"/>
          <w:highlight w:val="none"/>
        </w:rPr>
      </w:pPr>
      <w:r>
        <w:rPr>
          <w:rFonts w:hint="eastAsia" w:ascii="仿宋" w:hAnsi="仿宋" w:eastAsia="仿宋" w:cs="仿宋"/>
          <w:color w:val="auto"/>
          <w:sz w:val="24"/>
          <w:highlight w:val="none"/>
        </w:rPr>
        <w:t>★3.1</w:t>
      </w:r>
      <w:r>
        <w:rPr>
          <w:rFonts w:hint="eastAsia" w:ascii="仿宋_GB2312" w:hAnsi="仿宋_GB2312" w:eastAsia="仿宋_GB2312" w:cs="仿宋_GB2312"/>
          <w:b w:val="0"/>
          <w:bCs/>
          <w:color w:val="auto"/>
          <w:sz w:val="24"/>
          <w:szCs w:val="24"/>
          <w:highlight w:val="none"/>
        </w:rPr>
        <w:t>本合同的每笔款项以人民币转账方式支付，合同设备到采购人指定地点交付并完成安装，验收合格后，中标单位凭：</w:t>
      </w:r>
    </w:p>
    <w:p w14:paraId="065B544A">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（1）合同；</w:t>
      </w:r>
    </w:p>
    <w:p w14:paraId="7C31FABD">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（2）验收调试合格报告（加盖采购人公章）；</w:t>
      </w:r>
    </w:p>
    <w:p w14:paraId="68AEA6E3">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（3）中标供应商开具的正式发票（加盖发票专用章）。</w:t>
      </w:r>
    </w:p>
    <w:p w14:paraId="3301989D">
      <w:pPr>
        <w:spacing w:line="440" w:lineRule="exact"/>
        <w:rPr>
          <w:rFonts w:hint="eastAsia" w:ascii="仿宋_GB2312" w:hAnsi="仿宋_GB2312" w:eastAsia="仿宋_GB2312" w:cs="仿宋_GB2312"/>
          <w:b w:val="0"/>
          <w:bCs/>
          <w:color w:val="auto"/>
          <w:sz w:val="24"/>
          <w:szCs w:val="24"/>
          <w:highlight w:val="none"/>
        </w:rPr>
      </w:pPr>
      <w:r>
        <w:rPr>
          <w:rFonts w:hint="eastAsia" w:ascii="仿宋" w:hAnsi="仿宋" w:eastAsia="仿宋" w:cs="仿宋"/>
          <w:color w:val="auto"/>
          <w:sz w:val="24"/>
          <w:highlight w:val="none"/>
        </w:rPr>
        <w:t>★3.2</w:t>
      </w:r>
      <w:r>
        <w:rPr>
          <w:rFonts w:hint="eastAsia" w:ascii="仿宋_GB2312" w:hAnsi="仿宋_GB2312" w:eastAsia="仿宋_GB2312" w:cs="仿宋_GB2312"/>
          <w:b w:val="0"/>
          <w:bCs/>
          <w:color w:val="auto"/>
          <w:sz w:val="24"/>
          <w:szCs w:val="24"/>
          <w:highlight w:val="none"/>
        </w:rPr>
        <w:t>具体付款方式：本合同分二期支付，第一期：乙方按合同协议时间提供货物，并经协议规定的验收人员书面确认验收合格后，开具全额发票，甲方确认无误后一个月内支付合同总金额的95%的款项。第二期：合同总金额的5%的款项在质保期后无息支付。</w:t>
      </w:r>
    </w:p>
    <w:p w14:paraId="122A10AE">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7A501CC2"/>
    <w:multiLevelType w:val="singleLevel"/>
    <w:tmpl w:val="7A501CC2"/>
    <w:lvl w:ilvl="0" w:tentative="0">
      <w:start w:val="1"/>
      <w:numFmt w:val="decimal"/>
      <w:lvlText w:val="%1."/>
      <w:lvlJc w:val="left"/>
      <w:pPr>
        <w:ind w:left="425" w:hanging="425"/>
      </w:pPr>
      <w:rPr>
        <w:rFonts w:hint="default"/>
        <w:color w:val="auto"/>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7620875"/>
    <w:rsid w:val="0A1B12A5"/>
    <w:rsid w:val="0A7B32AF"/>
    <w:rsid w:val="0B983A1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7A01F4"/>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2D309D5"/>
    <w:rsid w:val="23683A18"/>
    <w:rsid w:val="23E7584F"/>
    <w:rsid w:val="258D2337"/>
    <w:rsid w:val="268A1BB3"/>
    <w:rsid w:val="28BF1285"/>
    <w:rsid w:val="2A885D27"/>
    <w:rsid w:val="2AA33888"/>
    <w:rsid w:val="2CAA0DDE"/>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4C41E6B"/>
    <w:rsid w:val="562C6AB3"/>
    <w:rsid w:val="56633810"/>
    <w:rsid w:val="56AB1A08"/>
    <w:rsid w:val="59480742"/>
    <w:rsid w:val="5B06785A"/>
    <w:rsid w:val="5B576610"/>
    <w:rsid w:val="5C9522CF"/>
    <w:rsid w:val="5CEB018E"/>
    <w:rsid w:val="5D1761F3"/>
    <w:rsid w:val="5D4446FE"/>
    <w:rsid w:val="5EC71180"/>
    <w:rsid w:val="5F580C6B"/>
    <w:rsid w:val="5F8F08C0"/>
    <w:rsid w:val="5FA44E0F"/>
    <w:rsid w:val="5FE15E62"/>
    <w:rsid w:val="60122426"/>
    <w:rsid w:val="60182200"/>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3C966C4"/>
    <w:rsid w:val="7547180C"/>
    <w:rsid w:val="78EF7DAC"/>
    <w:rsid w:val="79070A07"/>
    <w:rsid w:val="79907C4E"/>
    <w:rsid w:val="79A3457A"/>
    <w:rsid w:val="7A903C7E"/>
    <w:rsid w:val="7AFB2199"/>
    <w:rsid w:val="7B47043A"/>
    <w:rsid w:val="7B4C229B"/>
    <w:rsid w:val="7B69139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1264</Words>
  <Characters>1295</Characters>
  <Lines>5</Lines>
  <Paragraphs>1</Paragraphs>
  <TotalTime>1</TotalTime>
  <ScaleCrop>false</ScaleCrop>
  <LinksUpToDate>false</LinksUpToDate>
  <CharactersWithSpaces>1338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2025-02-11T10:20:28Z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