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E16A3">
      <w:pPr>
        <w:tabs>
          <w:tab w:val="left" w:pos="420"/>
          <w:tab w:val="left" w:pos="6660"/>
        </w:tabs>
        <w:spacing w:line="360" w:lineRule="auto"/>
        <w:jc w:val="center"/>
        <w:rPr>
          <w:rFonts w:hint="eastAsia" w:ascii="宋体" w:hAnsi="宋体" w:eastAsia="宋体" w:cs="宋体"/>
          <w:b/>
          <w:color w:val="auto"/>
          <w:sz w:val="72"/>
          <w:szCs w:val="72"/>
          <w:highlight w:val="none"/>
          <w:lang w:val="en-US" w:eastAsia="zh-CN"/>
        </w:rPr>
      </w:pPr>
    </w:p>
    <w:p w14:paraId="338D48FB">
      <w:pPr>
        <w:tabs>
          <w:tab w:val="left" w:pos="420"/>
          <w:tab w:val="left" w:pos="6660"/>
        </w:tabs>
        <w:spacing w:line="360" w:lineRule="auto"/>
        <w:jc w:val="center"/>
        <w:rPr>
          <w:rFonts w:hint="eastAsia" w:ascii="宋体" w:hAnsi="宋体" w:eastAsia="宋体" w:cs="宋体"/>
          <w:b/>
          <w:color w:val="auto"/>
          <w:sz w:val="72"/>
          <w:szCs w:val="72"/>
          <w:highlight w:val="none"/>
          <w:lang w:val="en-US" w:eastAsia="zh-CN"/>
        </w:rPr>
      </w:pPr>
    </w:p>
    <w:p w14:paraId="41B4BDCE">
      <w:pPr>
        <w:tabs>
          <w:tab w:val="left" w:pos="420"/>
          <w:tab w:val="left" w:pos="6660"/>
        </w:tabs>
        <w:spacing w:line="360" w:lineRule="auto"/>
        <w:jc w:val="center"/>
        <w:rPr>
          <w:rFonts w:hint="eastAsia" w:ascii="宋体" w:hAnsi="宋体" w:eastAsia="宋体" w:cs="宋体"/>
          <w:b/>
          <w:color w:val="auto"/>
          <w:sz w:val="72"/>
          <w:szCs w:val="72"/>
          <w:highlight w:val="none"/>
          <w:lang w:val="en-US" w:eastAsia="zh-CN"/>
        </w:rPr>
      </w:pPr>
    </w:p>
    <w:p w14:paraId="5C4174E1">
      <w:pPr>
        <w:tabs>
          <w:tab w:val="left" w:pos="420"/>
          <w:tab w:val="left" w:pos="6660"/>
        </w:tabs>
        <w:spacing w:line="360" w:lineRule="auto"/>
        <w:jc w:val="center"/>
        <w:rPr>
          <w:rFonts w:hint="eastAsia" w:ascii="宋体" w:hAnsi="宋体" w:eastAsia="宋体" w:cs="宋体"/>
          <w:b/>
          <w:color w:val="auto"/>
          <w:sz w:val="72"/>
          <w:szCs w:val="72"/>
          <w:highlight w:val="none"/>
          <w:lang w:val="en-US" w:eastAsia="zh-CN"/>
        </w:rPr>
      </w:pPr>
      <w:r>
        <w:rPr>
          <w:rFonts w:hint="eastAsia" w:ascii="宋体" w:hAnsi="宋体" w:eastAsia="宋体" w:cs="宋体"/>
          <w:b/>
          <w:color w:val="auto"/>
          <w:sz w:val="72"/>
          <w:szCs w:val="72"/>
          <w:highlight w:val="none"/>
          <w:lang w:val="en-US" w:eastAsia="zh-CN"/>
        </w:rPr>
        <w:t>遴 选 文 件</w:t>
      </w:r>
    </w:p>
    <w:p w14:paraId="4874BF08">
      <w:pPr>
        <w:widowControl/>
        <w:spacing w:line="360" w:lineRule="auto"/>
        <w:jc w:val="center"/>
        <w:rPr>
          <w:rFonts w:hint="eastAsia" w:ascii="宋体" w:hAnsi="宋体" w:eastAsia="宋体" w:cs="宋体"/>
          <w:b/>
          <w:color w:val="auto"/>
          <w:sz w:val="36"/>
          <w:szCs w:val="36"/>
          <w:highlight w:val="none"/>
        </w:rPr>
      </w:pPr>
    </w:p>
    <w:p w14:paraId="45CEFA5D">
      <w:pPr>
        <w:pStyle w:val="7"/>
        <w:rPr>
          <w:rFonts w:hint="eastAsia" w:ascii="宋体" w:hAnsi="宋体" w:eastAsia="宋体" w:cs="宋体"/>
          <w:b/>
          <w:color w:val="auto"/>
          <w:sz w:val="36"/>
          <w:szCs w:val="36"/>
          <w:highlight w:val="none"/>
        </w:rPr>
      </w:pPr>
    </w:p>
    <w:p w14:paraId="24341DBA">
      <w:pPr>
        <w:pStyle w:val="8"/>
        <w:rPr>
          <w:rFonts w:hint="eastAsia" w:ascii="宋体" w:hAnsi="宋体" w:eastAsia="宋体" w:cs="宋体"/>
          <w:b/>
          <w:color w:val="auto"/>
          <w:sz w:val="36"/>
          <w:szCs w:val="36"/>
          <w:highlight w:val="none"/>
        </w:rPr>
      </w:pPr>
    </w:p>
    <w:p w14:paraId="40192DB1">
      <w:pPr>
        <w:pStyle w:val="7"/>
        <w:rPr>
          <w:rFonts w:hint="eastAsia" w:ascii="宋体" w:hAnsi="宋体" w:eastAsia="宋体" w:cs="宋体"/>
          <w:b/>
          <w:color w:val="auto"/>
          <w:sz w:val="36"/>
          <w:szCs w:val="36"/>
          <w:highlight w:val="none"/>
        </w:rPr>
      </w:pPr>
    </w:p>
    <w:p w14:paraId="0F50E733">
      <w:pPr>
        <w:widowControl/>
        <w:spacing w:line="360" w:lineRule="auto"/>
        <w:jc w:val="both"/>
        <w:rPr>
          <w:rFonts w:hint="eastAsia" w:ascii="宋体" w:hAnsi="宋体" w:eastAsia="宋体" w:cs="宋体"/>
          <w:b/>
          <w:color w:val="auto"/>
          <w:sz w:val="36"/>
          <w:szCs w:val="36"/>
          <w:highlight w:val="none"/>
        </w:rPr>
      </w:pPr>
    </w:p>
    <w:p w14:paraId="2E2AA6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rPr>
        <w:t>项目名称：</w:t>
      </w:r>
      <w:r>
        <w:rPr>
          <w:rFonts w:hint="eastAsia" w:ascii="宋体" w:hAnsi="宋体" w:eastAsia="宋体" w:cs="宋体"/>
          <w:b/>
          <w:bCs/>
          <w:color w:val="auto"/>
          <w:sz w:val="36"/>
          <w:szCs w:val="36"/>
          <w:highlight w:val="none"/>
          <w:lang w:val="en-US" w:eastAsia="zh-CN"/>
        </w:rPr>
        <w:t>中山市小榄人民医院食堂经营遴选项目</w:t>
      </w:r>
    </w:p>
    <w:p w14:paraId="7AC540BE">
      <w:pPr>
        <w:pStyle w:val="27"/>
        <w:ind w:firstLine="1807" w:firstLineChars="500"/>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项目编号：XLYY20250356</w:t>
      </w:r>
    </w:p>
    <w:p w14:paraId="7178BED4">
      <w:pPr>
        <w:pStyle w:val="7"/>
        <w:rPr>
          <w:rFonts w:hint="eastAsia" w:ascii="宋体" w:hAnsi="宋体" w:eastAsia="宋体" w:cs="宋体"/>
          <w:b/>
          <w:bCs/>
          <w:color w:val="auto"/>
          <w:sz w:val="36"/>
          <w:szCs w:val="36"/>
          <w:highlight w:val="none"/>
          <w:lang w:val="en-US" w:eastAsia="zh-CN"/>
        </w:rPr>
      </w:pPr>
    </w:p>
    <w:p w14:paraId="09236E07">
      <w:pPr>
        <w:pStyle w:val="8"/>
        <w:rPr>
          <w:rFonts w:hint="eastAsia" w:ascii="宋体" w:hAnsi="宋体" w:eastAsia="宋体" w:cs="宋体"/>
          <w:b/>
          <w:bCs/>
          <w:color w:val="auto"/>
          <w:sz w:val="36"/>
          <w:szCs w:val="36"/>
          <w:highlight w:val="none"/>
          <w:lang w:val="en-US" w:eastAsia="zh-CN"/>
        </w:rPr>
      </w:pPr>
    </w:p>
    <w:p w14:paraId="7F0CD37A">
      <w:pPr>
        <w:rPr>
          <w:rFonts w:hint="eastAsia" w:ascii="宋体" w:hAnsi="宋体" w:eastAsia="宋体" w:cs="宋体"/>
          <w:b/>
          <w:bCs/>
          <w:color w:val="auto"/>
          <w:sz w:val="36"/>
          <w:szCs w:val="36"/>
          <w:highlight w:val="none"/>
          <w:lang w:val="en-US" w:eastAsia="zh-CN"/>
        </w:rPr>
      </w:pPr>
    </w:p>
    <w:p w14:paraId="121B2BBE">
      <w:pPr>
        <w:pStyle w:val="7"/>
        <w:rPr>
          <w:rFonts w:hint="eastAsia" w:ascii="宋体" w:hAnsi="宋体" w:eastAsia="宋体" w:cs="宋体"/>
          <w:b/>
          <w:bCs/>
          <w:color w:val="auto"/>
          <w:sz w:val="36"/>
          <w:szCs w:val="36"/>
          <w:highlight w:val="none"/>
          <w:lang w:val="en-US" w:eastAsia="zh-CN"/>
        </w:rPr>
      </w:pPr>
    </w:p>
    <w:p w14:paraId="5632FF3F">
      <w:pPr>
        <w:rPr>
          <w:rFonts w:hint="eastAsia" w:ascii="宋体" w:hAnsi="宋体" w:eastAsia="宋体" w:cs="宋体"/>
          <w:b/>
          <w:bCs/>
          <w:color w:val="auto"/>
          <w:sz w:val="36"/>
          <w:szCs w:val="36"/>
          <w:highlight w:val="none"/>
          <w:lang w:val="en-US" w:eastAsia="zh-CN"/>
        </w:rPr>
      </w:pPr>
    </w:p>
    <w:p w14:paraId="6BB069C6">
      <w:pPr>
        <w:pStyle w:val="7"/>
        <w:rPr>
          <w:rFonts w:hint="eastAsia" w:ascii="宋体" w:hAnsi="宋体" w:eastAsia="宋体" w:cs="宋体"/>
          <w:b/>
          <w:bCs/>
          <w:color w:val="auto"/>
          <w:sz w:val="36"/>
          <w:szCs w:val="36"/>
          <w:highlight w:val="none"/>
          <w:lang w:val="en-US" w:eastAsia="zh-CN"/>
        </w:rPr>
      </w:pPr>
    </w:p>
    <w:p w14:paraId="0B270776">
      <w:pPr>
        <w:tabs>
          <w:tab w:val="left" w:pos="0"/>
          <w:tab w:val="left" w:pos="426"/>
        </w:tabs>
        <w:wordWrap w:val="0"/>
        <w:spacing w:line="360" w:lineRule="auto"/>
        <w:ind w:firstLine="723" w:firstLineChars="200"/>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202</w:t>
      </w:r>
      <w:r>
        <w:rPr>
          <w:rFonts w:hint="eastAsia" w:ascii="宋体" w:hAnsi="宋体" w:eastAsia="宋体" w:cs="宋体"/>
          <w:b/>
          <w:bCs/>
          <w:color w:val="auto"/>
          <w:sz w:val="36"/>
          <w:szCs w:val="36"/>
          <w:highlight w:val="none"/>
          <w:lang w:val="en-US" w:eastAsia="zh-CN"/>
        </w:rPr>
        <w:t>5</w:t>
      </w:r>
      <w:r>
        <w:rPr>
          <w:rFonts w:hint="eastAsia" w:ascii="宋体" w:hAnsi="宋体" w:eastAsia="宋体" w:cs="宋体"/>
          <w:b/>
          <w:bCs/>
          <w:color w:val="auto"/>
          <w:sz w:val="36"/>
          <w:szCs w:val="36"/>
          <w:highlight w:val="none"/>
        </w:rPr>
        <w:t>年</w:t>
      </w:r>
      <w:r>
        <w:rPr>
          <w:rFonts w:hint="eastAsia" w:ascii="宋体" w:hAnsi="宋体" w:cs="宋体"/>
          <w:b/>
          <w:bCs/>
          <w:color w:val="auto"/>
          <w:sz w:val="36"/>
          <w:szCs w:val="36"/>
          <w:highlight w:val="none"/>
          <w:lang w:val="en-US" w:eastAsia="zh-CN"/>
        </w:rPr>
        <w:t>6</w:t>
      </w:r>
      <w:r>
        <w:rPr>
          <w:rFonts w:hint="eastAsia" w:ascii="宋体" w:hAnsi="宋体" w:eastAsia="宋体" w:cs="宋体"/>
          <w:b/>
          <w:bCs/>
          <w:color w:val="auto"/>
          <w:sz w:val="36"/>
          <w:szCs w:val="36"/>
          <w:highlight w:val="none"/>
        </w:rPr>
        <w:t>月</w:t>
      </w:r>
    </w:p>
    <w:p w14:paraId="4B9F6D75">
      <w:pPr>
        <w:pStyle w:val="8"/>
        <w:ind w:left="0" w:leftChars="0" w:firstLine="0" w:firstLineChars="0"/>
        <w:rPr>
          <w:rFonts w:hint="eastAsia" w:ascii="宋体" w:hAnsi="宋体" w:eastAsia="宋体" w:cs="宋体"/>
          <w:lang w:val="en-US" w:eastAsia="zh-CN"/>
        </w:rPr>
        <w:sectPr>
          <w:pgSz w:w="11906" w:h="16838"/>
          <w:pgMar w:top="1440" w:right="1800" w:bottom="1440" w:left="1800" w:header="851" w:footer="992" w:gutter="0"/>
          <w:pgNumType w:fmt="decimal" w:start="0"/>
          <w:cols w:space="425" w:num="1"/>
          <w:docGrid w:type="lines" w:linePitch="312" w:charSpace="0"/>
        </w:sectPr>
      </w:pPr>
    </w:p>
    <w:p w14:paraId="45B0D35A">
      <w:pPr>
        <w:rPr>
          <w:rFonts w:hint="eastAsia" w:ascii="宋体" w:hAnsi="宋体" w:eastAsia="宋体" w:cs="宋体"/>
          <w:lang w:val="en-US" w:eastAsia="zh-CN"/>
        </w:rPr>
      </w:pPr>
    </w:p>
    <w:sdt>
      <w:sdtPr>
        <w:rPr>
          <w:rFonts w:hint="eastAsia" w:ascii="宋体" w:hAnsi="宋体" w:eastAsia="宋体" w:cs="宋体"/>
          <w:kern w:val="2"/>
          <w:sz w:val="28"/>
          <w:szCs w:val="28"/>
          <w:lang w:val="en-US" w:eastAsia="zh-CN" w:bidi="ar-SA"/>
        </w:rPr>
        <w:id w:val="147451939"/>
        <w15:color w:val="DBDBDB"/>
        <w:docPartObj>
          <w:docPartGallery w:val="Table of Contents"/>
          <w:docPartUnique/>
        </w:docPartObj>
      </w:sdtPr>
      <w:sdtEndPr>
        <w:rPr>
          <w:rFonts w:hint="eastAsia" w:ascii="宋体" w:hAnsi="宋体" w:eastAsia="宋体" w:cs="宋体"/>
          <w:b/>
          <w:bCs/>
          <w:kern w:val="2"/>
          <w:sz w:val="28"/>
          <w:szCs w:val="28"/>
          <w:lang w:val="en-US" w:eastAsia="zh-CN" w:bidi="ar-SA"/>
        </w:rPr>
      </w:sdtEndPr>
      <w:sdtContent>
        <w:p w14:paraId="658E179A">
          <w:pPr>
            <w:spacing w:before="0" w:beforeLines="0" w:after="0" w:afterLines="0" w:line="240" w:lineRule="auto"/>
            <w:ind w:left="0" w:leftChars="0" w:right="0" w:rightChars="0" w:firstLine="0" w:firstLineChars="0"/>
            <w:jc w:val="center"/>
            <w:rPr>
              <w:rFonts w:hint="eastAsia" w:ascii="宋体" w:hAnsi="宋体" w:eastAsia="宋体" w:cs="宋体"/>
              <w:b/>
              <w:bCs/>
              <w:sz w:val="28"/>
              <w:szCs w:val="28"/>
            </w:rPr>
          </w:pPr>
          <w:bookmarkStart w:id="0" w:name="_Toc17594_WPSOffice_Type1"/>
          <w:r>
            <w:rPr>
              <w:rFonts w:hint="eastAsia" w:ascii="宋体" w:hAnsi="宋体" w:eastAsia="宋体" w:cs="宋体"/>
              <w:b/>
              <w:bCs/>
              <w:sz w:val="30"/>
              <w:szCs w:val="30"/>
            </w:rPr>
            <w:t>目</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录</w:t>
          </w:r>
        </w:p>
        <w:p w14:paraId="300DABE5">
          <w:pPr>
            <w:pStyle w:val="28"/>
            <w:tabs>
              <w:tab w:val="right" w:leader="dot" w:pos="8306"/>
            </w:tabs>
            <w:spacing w:line="600" w:lineRule="auto"/>
            <w:rPr>
              <w:rFonts w:hint="eastAsia" w:ascii="宋体" w:hAnsi="宋体" w:eastAsia="宋体" w:cs="宋体"/>
              <w:b/>
              <w:bCs/>
              <w:sz w:val="28"/>
              <w:szCs w:val="28"/>
              <w:lang w:eastAsia="zh-CN"/>
            </w:rPr>
          </w:pPr>
          <w:sdt>
            <w:sdtPr>
              <w:rPr>
                <w:rFonts w:hint="eastAsia" w:ascii="宋体" w:hAnsi="宋体" w:eastAsia="宋体" w:cs="宋体"/>
                <w:b/>
                <w:bCs/>
                <w:kern w:val="2"/>
                <w:sz w:val="28"/>
                <w:szCs w:val="28"/>
                <w:lang w:val="en-US" w:eastAsia="zh-CN" w:bidi="ar-SA"/>
              </w:rPr>
              <w:id w:val="147474871"/>
              <w:placeholder>
                <w:docPart w:val="{23e60ae3-7a8d-4af9-b237-b2ec2688e4c8}"/>
              </w:placeholder>
              <w15:color w:val="509DF3"/>
            </w:sdtPr>
            <w:sdtEndPr>
              <w:rPr>
                <w:rFonts w:hint="eastAsia" w:ascii="宋体" w:hAnsi="宋体" w:eastAsia="宋体" w:cs="宋体"/>
                <w:b/>
                <w:bCs/>
                <w:kern w:val="2"/>
                <w:sz w:val="28"/>
                <w:szCs w:val="28"/>
                <w:lang w:val="en-US" w:eastAsia="zh-CN" w:bidi="ar-SA"/>
              </w:rPr>
            </w:sdtEndPr>
            <w:sdtContent>
              <w:r>
                <w:rPr>
                  <w:rFonts w:hint="eastAsia" w:ascii="宋体" w:hAnsi="宋体" w:eastAsia="宋体" w:cs="宋体"/>
                  <w:b/>
                  <w:bCs/>
                  <w:kern w:val="2"/>
                  <w:sz w:val="28"/>
                  <w:szCs w:val="28"/>
                  <w:lang w:val="en-US" w:eastAsia="zh-CN" w:bidi="ar-SA"/>
                </w:rPr>
                <w:t>第一部分 遴选邀请函</w:t>
              </w:r>
            </w:sdtContent>
          </w:sdt>
          <w:r>
            <w:rPr>
              <w:rFonts w:hint="eastAsia" w:ascii="宋体" w:hAnsi="宋体" w:eastAsia="宋体" w:cs="宋体"/>
              <w:b/>
              <w:bCs/>
              <w:sz w:val="28"/>
              <w:szCs w:val="28"/>
            </w:rPr>
            <w:tab/>
          </w:r>
          <w:r>
            <w:rPr>
              <w:rFonts w:hint="eastAsia" w:ascii="宋体" w:hAnsi="宋体" w:eastAsia="宋体" w:cs="宋体"/>
              <w:b/>
              <w:bCs/>
              <w:sz w:val="28"/>
              <w:szCs w:val="28"/>
              <w:lang w:val="en-US" w:eastAsia="zh-CN"/>
            </w:rPr>
            <w:t>2</w:t>
          </w:r>
        </w:p>
        <w:p w14:paraId="659C9DBC">
          <w:pPr>
            <w:pStyle w:val="28"/>
            <w:tabs>
              <w:tab w:val="right" w:leader="dot" w:pos="8306"/>
            </w:tabs>
            <w:spacing w:line="600" w:lineRule="auto"/>
            <w:rPr>
              <w:rFonts w:hint="eastAsia" w:ascii="宋体" w:hAnsi="宋体" w:eastAsia="宋体" w:cs="宋体"/>
              <w:b/>
              <w:bCs/>
              <w:sz w:val="28"/>
              <w:szCs w:val="28"/>
              <w:lang w:eastAsia="zh-CN"/>
            </w:rPr>
          </w:pPr>
          <w:sdt>
            <w:sdtPr>
              <w:rPr>
                <w:rFonts w:hint="eastAsia" w:ascii="宋体" w:hAnsi="宋体" w:eastAsia="宋体" w:cs="宋体"/>
                <w:b/>
                <w:bCs/>
                <w:kern w:val="2"/>
                <w:sz w:val="28"/>
                <w:szCs w:val="28"/>
                <w:lang w:val="en-US" w:eastAsia="zh-CN" w:bidi="ar-SA"/>
              </w:rPr>
              <w:id w:val="147472154"/>
              <w:placeholder>
                <w:docPart w:val="{fb6986d5-d4c7-4efd-b5f1-7fa913a231d0}"/>
              </w:placeholder>
              <w15:color w:val="509DF3"/>
            </w:sdtPr>
            <w:sdtEndPr>
              <w:rPr>
                <w:rFonts w:hint="eastAsia" w:ascii="宋体" w:hAnsi="宋体" w:eastAsia="宋体" w:cs="宋体"/>
                <w:b/>
                <w:bCs/>
                <w:kern w:val="2"/>
                <w:sz w:val="28"/>
                <w:szCs w:val="28"/>
                <w:lang w:val="en-US" w:eastAsia="zh-CN" w:bidi="ar-SA"/>
              </w:rPr>
            </w:sdtEndPr>
            <w:sdtContent>
              <w:r>
                <w:rPr>
                  <w:rFonts w:hint="eastAsia" w:ascii="宋体" w:hAnsi="宋体" w:eastAsia="宋体" w:cs="宋体"/>
                  <w:b/>
                  <w:bCs/>
                  <w:kern w:val="2"/>
                  <w:sz w:val="28"/>
                  <w:szCs w:val="28"/>
                  <w:lang w:val="en-US" w:eastAsia="zh-CN" w:bidi="ar-SA"/>
                </w:rPr>
                <w:t>第二部分 用户需求书</w:t>
              </w:r>
            </w:sdtContent>
          </w:sdt>
          <w:r>
            <w:rPr>
              <w:rFonts w:hint="eastAsia" w:ascii="宋体" w:hAnsi="宋体" w:eastAsia="宋体" w:cs="宋体"/>
              <w:b/>
              <w:bCs/>
              <w:sz w:val="28"/>
              <w:szCs w:val="28"/>
            </w:rPr>
            <w:tab/>
          </w:r>
          <w:r>
            <w:rPr>
              <w:rFonts w:hint="eastAsia" w:ascii="宋体" w:hAnsi="宋体" w:eastAsia="宋体" w:cs="宋体"/>
              <w:b/>
              <w:bCs/>
              <w:sz w:val="28"/>
              <w:szCs w:val="28"/>
              <w:lang w:val="en-US" w:eastAsia="zh-CN"/>
            </w:rPr>
            <w:t>6</w:t>
          </w:r>
        </w:p>
        <w:p w14:paraId="0552FEC4">
          <w:pPr>
            <w:pStyle w:val="28"/>
            <w:tabs>
              <w:tab w:val="right" w:leader="dot" w:pos="8306"/>
            </w:tabs>
            <w:spacing w:line="600" w:lineRule="auto"/>
            <w:rPr>
              <w:rFonts w:hint="default" w:ascii="宋体" w:hAnsi="宋体" w:eastAsia="宋体" w:cs="宋体"/>
              <w:b/>
              <w:bCs/>
              <w:sz w:val="28"/>
              <w:szCs w:val="28"/>
              <w:lang w:val="en-US" w:eastAsia="zh-CN"/>
            </w:rPr>
          </w:pPr>
          <w:sdt>
            <w:sdtPr>
              <w:rPr>
                <w:rFonts w:hint="eastAsia" w:ascii="宋体" w:hAnsi="宋体" w:eastAsia="宋体" w:cs="宋体"/>
                <w:b/>
                <w:bCs/>
                <w:kern w:val="2"/>
                <w:sz w:val="28"/>
                <w:szCs w:val="28"/>
                <w:lang w:val="en-US" w:eastAsia="zh-CN" w:bidi="ar-SA"/>
              </w:rPr>
              <w:id w:val="147462818"/>
              <w:placeholder>
                <w:docPart w:val="{90f722e0-8df3-41a8-a0cb-fc645b1ad85b}"/>
              </w:placeholder>
              <w15:color w:val="509DF3"/>
            </w:sdtPr>
            <w:sdtEndPr>
              <w:rPr>
                <w:rFonts w:hint="eastAsia" w:ascii="宋体" w:hAnsi="宋体" w:eastAsia="宋体" w:cs="宋体"/>
                <w:b/>
                <w:bCs/>
                <w:kern w:val="2"/>
                <w:sz w:val="28"/>
                <w:szCs w:val="28"/>
                <w:lang w:val="en-US" w:eastAsia="zh-CN" w:bidi="ar-SA"/>
              </w:rPr>
            </w:sdtEndPr>
            <w:sdtContent>
              <w:r>
                <w:rPr>
                  <w:rFonts w:hint="eastAsia" w:ascii="宋体" w:hAnsi="宋体" w:eastAsia="宋体" w:cs="宋体"/>
                  <w:b/>
                  <w:bCs/>
                  <w:kern w:val="2"/>
                  <w:sz w:val="28"/>
                  <w:szCs w:val="28"/>
                  <w:lang w:val="en-US" w:eastAsia="zh-CN" w:bidi="ar-SA"/>
                </w:rPr>
                <w:t>第三部分 评分标准</w:t>
              </w:r>
            </w:sdtContent>
          </w:sdt>
          <w:r>
            <w:rPr>
              <w:rFonts w:hint="eastAsia" w:ascii="宋体" w:hAnsi="宋体" w:eastAsia="宋体" w:cs="宋体"/>
              <w:b/>
              <w:bCs/>
              <w:sz w:val="28"/>
              <w:szCs w:val="28"/>
            </w:rPr>
            <w:tab/>
          </w:r>
          <w:r>
            <w:rPr>
              <w:rFonts w:hint="eastAsia" w:ascii="宋体" w:hAnsi="宋体" w:eastAsia="宋体" w:cs="宋体"/>
              <w:b/>
              <w:bCs/>
              <w:sz w:val="28"/>
              <w:szCs w:val="28"/>
              <w:lang w:val="en-US" w:eastAsia="zh-CN"/>
            </w:rPr>
            <w:t>24</w:t>
          </w:r>
        </w:p>
        <w:p w14:paraId="2242ECDE">
          <w:pPr>
            <w:pStyle w:val="28"/>
            <w:tabs>
              <w:tab w:val="right" w:leader="dot" w:pos="8306"/>
            </w:tabs>
            <w:spacing w:line="600" w:lineRule="auto"/>
            <w:rPr>
              <w:rFonts w:hint="default" w:ascii="宋体" w:hAnsi="宋体" w:eastAsia="宋体" w:cs="宋体"/>
              <w:b/>
              <w:bCs/>
              <w:sz w:val="28"/>
              <w:szCs w:val="28"/>
              <w:lang w:val="en-US" w:eastAsia="zh-CN"/>
            </w:rPr>
          </w:pPr>
          <w:sdt>
            <w:sdtPr>
              <w:rPr>
                <w:rFonts w:hint="eastAsia" w:ascii="宋体" w:hAnsi="宋体" w:eastAsia="宋体" w:cs="宋体"/>
                <w:b/>
                <w:bCs/>
                <w:kern w:val="2"/>
                <w:sz w:val="28"/>
                <w:szCs w:val="28"/>
                <w:lang w:val="en-US" w:eastAsia="zh-CN" w:bidi="ar-SA"/>
              </w:rPr>
              <w:id w:val="147479281"/>
              <w:placeholder>
                <w:docPart w:val="{374c8499-bb23-40ff-a681-38061e3be905}"/>
              </w:placeholder>
              <w15:color w:val="509DF3"/>
            </w:sdtPr>
            <w:sdtEndPr>
              <w:rPr>
                <w:rFonts w:hint="eastAsia" w:ascii="宋体" w:hAnsi="宋体" w:eastAsia="宋体" w:cs="宋体"/>
                <w:b/>
                <w:bCs/>
                <w:kern w:val="2"/>
                <w:sz w:val="28"/>
                <w:szCs w:val="28"/>
                <w:lang w:val="en-US" w:eastAsia="zh-CN" w:bidi="ar-SA"/>
              </w:rPr>
            </w:sdtEndPr>
            <w:sdtContent>
              <w:r>
                <w:rPr>
                  <w:rFonts w:hint="eastAsia" w:ascii="宋体" w:hAnsi="宋体" w:eastAsia="宋体" w:cs="宋体"/>
                  <w:b/>
                  <w:bCs/>
                  <w:kern w:val="2"/>
                  <w:sz w:val="28"/>
                  <w:szCs w:val="28"/>
                  <w:lang w:val="en-US" w:eastAsia="zh-CN" w:bidi="ar-SA"/>
                </w:rPr>
                <w:t>第四部分 响应文件格式</w:t>
              </w:r>
            </w:sdtContent>
          </w:sdt>
          <w:r>
            <w:rPr>
              <w:rFonts w:hint="eastAsia" w:ascii="宋体" w:hAnsi="宋体" w:eastAsia="宋体" w:cs="宋体"/>
              <w:b/>
              <w:bCs/>
              <w:sz w:val="28"/>
              <w:szCs w:val="28"/>
            </w:rPr>
            <w:tab/>
          </w:r>
          <w:r>
            <w:rPr>
              <w:rFonts w:hint="eastAsia" w:ascii="宋体" w:hAnsi="宋体" w:eastAsia="宋体" w:cs="宋体"/>
              <w:b/>
              <w:bCs/>
              <w:sz w:val="28"/>
              <w:szCs w:val="28"/>
              <w:lang w:val="en-US" w:eastAsia="zh-CN"/>
            </w:rPr>
            <w:t>28</w:t>
          </w:r>
        </w:p>
        <w:bookmarkEnd w:id="0"/>
        <w:p w14:paraId="1383C072">
          <w:pPr>
            <w:pStyle w:val="28"/>
            <w:tabs>
              <w:tab w:val="right" w:leader="dot" w:pos="8306"/>
            </w:tabs>
            <w:spacing w:line="600" w:lineRule="auto"/>
            <w:rPr>
              <w:rFonts w:hint="eastAsia" w:ascii="宋体" w:hAnsi="宋体" w:eastAsia="宋体" w:cs="宋体"/>
              <w:b/>
              <w:bCs/>
              <w:sz w:val="28"/>
              <w:szCs w:val="28"/>
            </w:rPr>
          </w:pPr>
        </w:p>
      </w:sdtContent>
    </w:sdt>
    <w:p w14:paraId="526AE632">
      <w:pPr>
        <w:pStyle w:val="7"/>
        <w:rPr>
          <w:rFonts w:hint="eastAsia" w:ascii="宋体" w:hAnsi="宋体" w:eastAsia="宋体" w:cs="宋体"/>
          <w:sz w:val="28"/>
          <w:szCs w:val="28"/>
        </w:rPr>
      </w:pPr>
    </w:p>
    <w:p w14:paraId="634E3B90">
      <w:pPr>
        <w:pStyle w:val="8"/>
        <w:rPr>
          <w:rFonts w:hint="eastAsia" w:ascii="宋体" w:hAnsi="宋体" w:eastAsia="宋体" w:cs="宋体"/>
          <w:sz w:val="28"/>
          <w:szCs w:val="28"/>
        </w:rPr>
      </w:pPr>
    </w:p>
    <w:p w14:paraId="2470357C">
      <w:pPr>
        <w:rPr>
          <w:rFonts w:hint="eastAsia" w:ascii="宋体" w:hAnsi="宋体" w:eastAsia="宋体" w:cs="宋体"/>
          <w:sz w:val="28"/>
          <w:szCs w:val="28"/>
        </w:rPr>
      </w:pPr>
    </w:p>
    <w:p w14:paraId="0446A644">
      <w:pPr>
        <w:pStyle w:val="7"/>
        <w:rPr>
          <w:rFonts w:hint="eastAsia" w:ascii="宋体" w:hAnsi="宋体" w:eastAsia="宋体" w:cs="宋体"/>
          <w:sz w:val="28"/>
          <w:szCs w:val="28"/>
        </w:rPr>
      </w:pPr>
    </w:p>
    <w:p w14:paraId="2D990102">
      <w:pPr>
        <w:pStyle w:val="8"/>
        <w:rPr>
          <w:rFonts w:hint="eastAsia" w:ascii="宋体" w:hAnsi="宋体" w:eastAsia="宋体" w:cs="宋体"/>
          <w:sz w:val="28"/>
          <w:szCs w:val="28"/>
        </w:rPr>
      </w:pPr>
    </w:p>
    <w:p w14:paraId="55E1E523">
      <w:pPr>
        <w:rPr>
          <w:rFonts w:hint="eastAsia" w:ascii="宋体" w:hAnsi="宋体" w:eastAsia="宋体" w:cs="宋体"/>
          <w:sz w:val="28"/>
          <w:szCs w:val="28"/>
        </w:rPr>
      </w:pPr>
    </w:p>
    <w:p w14:paraId="4C3594EF">
      <w:pPr>
        <w:pStyle w:val="7"/>
        <w:rPr>
          <w:rFonts w:hint="eastAsia" w:ascii="宋体" w:hAnsi="宋体" w:eastAsia="宋体" w:cs="宋体"/>
          <w:sz w:val="28"/>
          <w:szCs w:val="28"/>
        </w:rPr>
      </w:pPr>
    </w:p>
    <w:p w14:paraId="70EDAE9B">
      <w:pPr>
        <w:pStyle w:val="8"/>
        <w:rPr>
          <w:rFonts w:hint="eastAsia" w:ascii="宋体" w:hAnsi="宋体" w:eastAsia="宋体" w:cs="宋体"/>
          <w:sz w:val="28"/>
          <w:szCs w:val="28"/>
        </w:rPr>
      </w:pPr>
    </w:p>
    <w:p w14:paraId="29EAD618">
      <w:pPr>
        <w:rPr>
          <w:rFonts w:hint="eastAsia" w:ascii="宋体" w:hAnsi="宋体" w:eastAsia="宋体" w:cs="宋体"/>
          <w:sz w:val="28"/>
          <w:szCs w:val="28"/>
        </w:rPr>
      </w:pPr>
    </w:p>
    <w:p w14:paraId="40769252">
      <w:pPr>
        <w:pStyle w:val="7"/>
        <w:rPr>
          <w:rFonts w:hint="eastAsia" w:ascii="宋体" w:hAnsi="宋体" w:eastAsia="宋体" w:cs="宋体"/>
          <w:sz w:val="28"/>
          <w:szCs w:val="28"/>
        </w:rPr>
      </w:pPr>
    </w:p>
    <w:p w14:paraId="172BF4D6">
      <w:pPr>
        <w:pStyle w:val="8"/>
        <w:rPr>
          <w:rFonts w:hint="eastAsia" w:ascii="宋体" w:hAnsi="宋体" w:eastAsia="宋体" w:cs="宋体"/>
          <w:sz w:val="28"/>
          <w:szCs w:val="28"/>
        </w:rPr>
      </w:pPr>
    </w:p>
    <w:p w14:paraId="306C09D0">
      <w:pPr>
        <w:rPr>
          <w:rFonts w:hint="eastAsia" w:ascii="宋体" w:hAnsi="宋体" w:eastAsia="宋体" w:cs="宋体"/>
          <w:sz w:val="28"/>
          <w:szCs w:val="28"/>
        </w:rPr>
      </w:pPr>
    </w:p>
    <w:p w14:paraId="0C78A3EC">
      <w:pPr>
        <w:pStyle w:val="7"/>
        <w:rPr>
          <w:rFonts w:hint="eastAsia" w:ascii="宋体" w:hAnsi="宋体" w:eastAsia="宋体" w:cs="宋体"/>
          <w:sz w:val="28"/>
          <w:szCs w:val="28"/>
        </w:rPr>
      </w:pPr>
    </w:p>
    <w:p w14:paraId="0EC21A2A">
      <w:pPr>
        <w:pStyle w:val="8"/>
        <w:rPr>
          <w:rFonts w:hint="eastAsia" w:ascii="宋体" w:hAnsi="宋体" w:eastAsia="宋体" w:cs="宋体"/>
          <w:sz w:val="28"/>
          <w:szCs w:val="28"/>
        </w:rPr>
      </w:pPr>
    </w:p>
    <w:p w14:paraId="160861B3">
      <w:pPr>
        <w:pStyle w:val="2"/>
        <w:bidi w:val="0"/>
        <w:jc w:val="center"/>
        <w:rPr>
          <w:rFonts w:hint="eastAsia" w:ascii="宋体" w:hAnsi="宋体" w:eastAsia="宋体" w:cs="宋体"/>
          <w:color w:val="auto"/>
          <w:highlight w:val="none"/>
        </w:rPr>
      </w:pPr>
      <w:bookmarkStart w:id="1" w:name="_Toc26272340"/>
      <w:bookmarkStart w:id="2" w:name="_Toc25203"/>
    </w:p>
    <w:p w14:paraId="2A85B0EC">
      <w:pPr>
        <w:pStyle w:val="2"/>
        <w:bidi w:val="0"/>
        <w:jc w:val="both"/>
        <w:rPr>
          <w:rFonts w:hint="eastAsia" w:ascii="宋体" w:hAnsi="宋体" w:eastAsia="宋体" w:cs="宋体"/>
          <w:color w:val="auto"/>
          <w:highlight w:val="none"/>
        </w:rPr>
      </w:pPr>
    </w:p>
    <w:p w14:paraId="2C0D26A1">
      <w:pPr>
        <w:pStyle w:val="2"/>
        <w:bidi w:val="0"/>
        <w:jc w:val="center"/>
        <w:rPr>
          <w:rFonts w:hint="eastAsia" w:ascii="宋体" w:hAnsi="宋体" w:eastAsia="宋体" w:cs="宋体"/>
          <w:color w:val="auto"/>
          <w:highlight w:val="none"/>
        </w:rPr>
      </w:pPr>
    </w:p>
    <w:p w14:paraId="305A40FF">
      <w:pPr>
        <w:pStyle w:val="2"/>
        <w:numPr>
          <w:ilvl w:val="0"/>
          <w:numId w:val="1"/>
        </w:num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 xml:space="preserve"> </w:t>
      </w:r>
      <w:bookmarkEnd w:id="1"/>
      <w:r>
        <w:rPr>
          <w:rFonts w:hint="eastAsia" w:ascii="宋体" w:hAnsi="宋体" w:eastAsia="宋体" w:cs="宋体"/>
          <w:color w:val="auto"/>
          <w:highlight w:val="none"/>
          <w:lang w:val="en-US" w:eastAsia="zh-CN"/>
        </w:rPr>
        <w:t>遴选</w:t>
      </w:r>
      <w:r>
        <w:rPr>
          <w:rFonts w:hint="eastAsia" w:ascii="宋体" w:hAnsi="宋体" w:eastAsia="宋体" w:cs="宋体"/>
          <w:color w:val="auto"/>
          <w:highlight w:val="none"/>
          <w:lang w:eastAsia="zh-CN"/>
        </w:rPr>
        <w:t>邀请函</w:t>
      </w:r>
      <w:bookmarkEnd w:id="2"/>
    </w:p>
    <w:p w14:paraId="0F100336">
      <w:pPr>
        <w:widowControl w:val="0"/>
        <w:numPr>
          <w:ilvl w:val="0"/>
          <w:numId w:val="0"/>
        </w:numPr>
        <w:jc w:val="both"/>
        <w:rPr>
          <w:rFonts w:hint="eastAsia" w:ascii="宋体" w:hAnsi="宋体" w:eastAsia="宋体" w:cs="宋体"/>
          <w:lang w:eastAsia="zh-CN"/>
        </w:rPr>
      </w:pPr>
    </w:p>
    <w:p w14:paraId="0029D776">
      <w:pPr>
        <w:pStyle w:val="7"/>
        <w:rPr>
          <w:rFonts w:hint="eastAsia" w:ascii="宋体" w:hAnsi="宋体" w:eastAsia="宋体" w:cs="宋体"/>
          <w:lang w:eastAsia="zh-CN"/>
        </w:rPr>
      </w:pPr>
    </w:p>
    <w:p w14:paraId="03BE7125">
      <w:pPr>
        <w:pStyle w:val="8"/>
        <w:rPr>
          <w:rFonts w:hint="eastAsia" w:ascii="宋体" w:hAnsi="宋体" w:eastAsia="宋体" w:cs="宋体"/>
          <w:lang w:eastAsia="zh-CN"/>
        </w:rPr>
      </w:pPr>
    </w:p>
    <w:p w14:paraId="10D89387">
      <w:pPr>
        <w:rPr>
          <w:rFonts w:hint="eastAsia" w:ascii="宋体" w:hAnsi="宋体" w:eastAsia="宋体" w:cs="宋体"/>
          <w:lang w:eastAsia="zh-CN"/>
        </w:rPr>
      </w:pPr>
    </w:p>
    <w:p w14:paraId="53F91325">
      <w:pPr>
        <w:rPr>
          <w:rFonts w:hint="eastAsia" w:ascii="宋体" w:hAnsi="宋体" w:eastAsia="宋体" w:cs="宋体"/>
          <w:lang w:eastAsia="zh-CN"/>
        </w:rPr>
      </w:pPr>
    </w:p>
    <w:p w14:paraId="56DEE8C4">
      <w:pPr>
        <w:rPr>
          <w:rFonts w:hint="eastAsia" w:ascii="宋体" w:hAnsi="宋体" w:eastAsia="宋体" w:cs="宋体"/>
          <w:lang w:eastAsia="zh-CN"/>
        </w:rPr>
      </w:pPr>
    </w:p>
    <w:p w14:paraId="568F1FBE">
      <w:pPr>
        <w:rPr>
          <w:rFonts w:hint="eastAsia" w:ascii="宋体" w:hAnsi="宋体" w:eastAsia="宋体" w:cs="宋体"/>
          <w:lang w:eastAsia="zh-CN"/>
        </w:rPr>
      </w:pPr>
    </w:p>
    <w:p w14:paraId="48607375">
      <w:pPr>
        <w:rPr>
          <w:rFonts w:hint="eastAsia" w:ascii="宋体" w:hAnsi="宋体" w:eastAsia="宋体" w:cs="宋体"/>
          <w:lang w:eastAsia="zh-CN"/>
        </w:rPr>
      </w:pPr>
    </w:p>
    <w:p w14:paraId="6C63095B">
      <w:pPr>
        <w:rPr>
          <w:rFonts w:hint="eastAsia" w:ascii="宋体" w:hAnsi="宋体" w:eastAsia="宋体" w:cs="宋体"/>
          <w:lang w:eastAsia="zh-CN"/>
        </w:rPr>
      </w:pPr>
    </w:p>
    <w:p w14:paraId="6BB86968">
      <w:pPr>
        <w:rPr>
          <w:rFonts w:hint="eastAsia" w:ascii="宋体" w:hAnsi="宋体" w:eastAsia="宋体" w:cs="宋体"/>
          <w:lang w:eastAsia="zh-CN"/>
        </w:rPr>
      </w:pPr>
    </w:p>
    <w:p w14:paraId="58462F4C">
      <w:pPr>
        <w:rPr>
          <w:rFonts w:hint="eastAsia" w:ascii="宋体" w:hAnsi="宋体" w:eastAsia="宋体" w:cs="宋体"/>
          <w:lang w:eastAsia="zh-CN"/>
        </w:rPr>
      </w:pPr>
    </w:p>
    <w:p w14:paraId="1420E169">
      <w:pPr>
        <w:rPr>
          <w:rFonts w:hint="eastAsia" w:ascii="宋体" w:hAnsi="宋体" w:eastAsia="宋体" w:cs="宋体"/>
          <w:lang w:eastAsia="zh-CN"/>
        </w:rPr>
      </w:pPr>
    </w:p>
    <w:p w14:paraId="668BED28">
      <w:pPr>
        <w:rPr>
          <w:rFonts w:hint="eastAsia" w:ascii="宋体" w:hAnsi="宋体" w:eastAsia="宋体" w:cs="宋体"/>
          <w:lang w:eastAsia="zh-CN"/>
        </w:rPr>
      </w:pPr>
    </w:p>
    <w:p w14:paraId="380CAB94">
      <w:pPr>
        <w:rPr>
          <w:rFonts w:hint="eastAsia" w:ascii="宋体" w:hAnsi="宋体" w:eastAsia="宋体" w:cs="宋体"/>
          <w:lang w:eastAsia="zh-CN"/>
        </w:rPr>
      </w:pPr>
    </w:p>
    <w:p w14:paraId="44088708">
      <w:pPr>
        <w:rPr>
          <w:rFonts w:hint="eastAsia" w:ascii="宋体" w:hAnsi="宋体" w:eastAsia="宋体" w:cs="宋体"/>
          <w:lang w:eastAsia="zh-CN"/>
        </w:rPr>
      </w:pPr>
    </w:p>
    <w:p w14:paraId="1F7C13DE">
      <w:pPr>
        <w:rPr>
          <w:rFonts w:hint="eastAsia" w:ascii="宋体" w:hAnsi="宋体" w:eastAsia="宋体" w:cs="宋体"/>
          <w:lang w:eastAsia="zh-CN"/>
        </w:rPr>
      </w:pPr>
    </w:p>
    <w:p w14:paraId="2EF35A3B">
      <w:pPr>
        <w:rPr>
          <w:rFonts w:hint="eastAsia" w:ascii="宋体" w:hAnsi="宋体" w:eastAsia="宋体" w:cs="宋体"/>
          <w:lang w:eastAsia="zh-CN"/>
        </w:rPr>
      </w:pPr>
    </w:p>
    <w:p w14:paraId="717BFF69">
      <w:pPr>
        <w:rPr>
          <w:rFonts w:hint="eastAsia" w:ascii="宋体" w:hAnsi="宋体" w:eastAsia="宋体" w:cs="宋体"/>
          <w:lang w:eastAsia="zh-CN"/>
        </w:rPr>
      </w:pPr>
    </w:p>
    <w:p w14:paraId="1CE8F087">
      <w:pPr>
        <w:rPr>
          <w:rFonts w:hint="eastAsia" w:ascii="宋体" w:hAnsi="宋体" w:eastAsia="宋体" w:cs="宋体"/>
          <w:lang w:eastAsia="zh-CN"/>
        </w:rPr>
      </w:pPr>
    </w:p>
    <w:p w14:paraId="685E9A4A">
      <w:pPr>
        <w:rPr>
          <w:rFonts w:hint="eastAsia" w:ascii="宋体" w:hAnsi="宋体" w:eastAsia="宋体" w:cs="宋体"/>
          <w:lang w:eastAsia="zh-CN"/>
        </w:rPr>
      </w:pPr>
    </w:p>
    <w:p w14:paraId="169A7DA8">
      <w:pPr>
        <w:rPr>
          <w:rFonts w:hint="eastAsia" w:ascii="宋体" w:hAnsi="宋体" w:eastAsia="宋体" w:cs="宋体"/>
          <w:lang w:eastAsia="zh-CN"/>
        </w:rPr>
      </w:pPr>
    </w:p>
    <w:p w14:paraId="26541C42">
      <w:pPr>
        <w:pStyle w:val="7"/>
        <w:rPr>
          <w:rFonts w:hint="eastAsia" w:ascii="宋体" w:hAnsi="宋体" w:eastAsia="宋体" w:cs="宋体"/>
          <w:lang w:eastAsia="zh-CN"/>
        </w:rPr>
      </w:pPr>
    </w:p>
    <w:p w14:paraId="792A2C9C">
      <w:pPr>
        <w:rPr>
          <w:rFonts w:hint="eastAsia" w:ascii="宋体" w:hAnsi="宋体" w:eastAsia="宋体" w:cs="宋体"/>
          <w:lang w:eastAsia="zh-CN"/>
        </w:rPr>
      </w:pPr>
    </w:p>
    <w:p w14:paraId="7DBF2D5A">
      <w:pPr>
        <w:pStyle w:val="7"/>
        <w:rPr>
          <w:rFonts w:hint="eastAsia" w:ascii="宋体" w:hAnsi="宋体" w:eastAsia="宋体" w:cs="宋体"/>
          <w:lang w:eastAsia="zh-CN"/>
        </w:rPr>
      </w:pPr>
    </w:p>
    <w:p w14:paraId="22008305">
      <w:pPr>
        <w:adjustRightInd w:val="0"/>
        <w:snapToGrid w:val="0"/>
        <w:spacing w:line="360" w:lineRule="auto"/>
        <w:jc w:val="center"/>
        <w:rPr>
          <w:rFonts w:hint="eastAsia" w:ascii="宋体" w:hAnsi="宋体" w:eastAsia="宋体" w:cs="宋体"/>
          <w:b/>
          <w:color w:val="auto"/>
          <w:kern w:val="28"/>
          <w:sz w:val="28"/>
          <w:szCs w:val="28"/>
          <w:highlight w:val="none"/>
          <w:lang w:eastAsia="zh-CN"/>
        </w:rPr>
      </w:pPr>
      <w:r>
        <w:rPr>
          <w:rFonts w:hint="eastAsia" w:ascii="宋体" w:hAnsi="宋体" w:eastAsia="宋体" w:cs="宋体"/>
          <w:b/>
          <w:color w:val="auto"/>
          <w:kern w:val="28"/>
          <w:sz w:val="28"/>
          <w:szCs w:val="28"/>
          <w:highlight w:val="none"/>
        </w:rPr>
        <w:t xml:space="preserve"> </w:t>
      </w:r>
      <w:r>
        <w:rPr>
          <w:rFonts w:hint="eastAsia" w:ascii="宋体" w:hAnsi="宋体" w:eastAsia="宋体" w:cs="宋体"/>
          <w:b/>
          <w:color w:val="auto"/>
          <w:kern w:val="28"/>
          <w:sz w:val="32"/>
          <w:szCs w:val="32"/>
          <w:highlight w:val="none"/>
        </w:rPr>
        <w:t xml:space="preserve"> </w:t>
      </w:r>
      <w:r>
        <w:rPr>
          <w:rFonts w:hint="eastAsia" w:ascii="宋体" w:hAnsi="宋体" w:eastAsia="宋体" w:cs="宋体"/>
          <w:b/>
          <w:color w:val="auto"/>
          <w:kern w:val="28"/>
          <w:sz w:val="32"/>
          <w:szCs w:val="32"/>
          <w:highlight w:val="none"/>
          <w:lang w:val="en-US" w:eastAsia="zh-CN"/>
        </w:rPr>
        <w:t>遴选</w:t>
      </w:r>
      <w:r>
        <w:rPr>
          <w:rFonts w:hint="eastAsia" w:ascii="宋体" w:hAnsi="宋体" w:eastAsia="宋体" w:cs="宋体"/>
          <w:b/>
          <w:color w:val="auto"/>
          <w:kern w:val="28"/>
          <w:sz w:val="32"/>
          <w:szCs w:val="32"/>
          <w:highlight w:val="none"/>
          <w:lang w:eastAsia="zh-CN"/>
        </w:rPr>
        <w:t>邀请函</w:t>
      </w:r>
    </w:p>
    <w:p w14:paraId="2C3FB4BB">
      <w:pPr>
        <w:pStyle w:val="18"/>
        <w:widowControl/>
        <w:numPr>
          <w:ilvl w:val="0"/>
          <w:numId w:val="2"/>
        </w:numPr>
        <w:shd w:val="clear" w:color="auto" w:fill="FFFFFF"/>
        <w:spacing w:beforeAutospacing="0" w:afterAutospacing="0" w:line="360" w:lineRule="auto"/>
        <w:ind w:firstLine="0"/>
        <w:jc w:val="both"/>
        <w:textAlignment w:val="baseline"/>
        <w:rPr>
          <w:rFonts w:hint="eastAsia" w:ascii="宋体" w:hAnsi="宋体" w:eastAsia="宋体" w:cs="宋体"/>
          <w:b/>
          <w:bCs/>
          <w:color w:val="auto"/>
          <w:sz w:val="24"/>
          <w:szCs w:val="24"/>
          <w:highlight w:val="none"/>
        </w:rPr>
      </w:pPr>
      <w:r>
        <w:rPr>
          <w:rStyle w:val="24"/>
          <w:rFonts w:hint="eastAsia" w:ascii="宋体" w:hAnsi="宋体" w:eastAsia="宋体" w:cs="宋体"/>
          <w:bCs/>
          <w:color w:val="auto"/>
          <w:sz w:val="24"/>
          <w:szCs w:val="24"/>
          <w:highlight w:val="none"/>
          <w:shd w:val="clear" w:color="auto" w:fill="FFFFFF"/>
        </w:rPr>
        <w:t>项目基本情况</w:t>
      </w:r>
    </w:p>
    <w:p w14:paraId="2BF0AF6B">
      <w:pPr>
        <w:pStyle w:val="18"/>
        <w:widowControl/>
        <w:spacing w:beforeAutospacing="0" w:afterAutospacing="0" w:line="360" w:lineRule="auto"/>
        <w:ind w:firstLine="420"/>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方式：院内</w:t>
      </w:r>
      <w:r>
        <w:rPr>
          <w:rFonts w:hint="eastAsia" w:ascii="宋体" w:hAnsi="宋体" w:eastAsia="宋体" w:cs="宋体"/>
          <w:color w:val="auto"/>
          <w:sz w:val="24"/>
          <w:szCs w:val="24"/>
          <w:highlight w:val="none"/>
          <w:shd w:val="clear" w:color="auto" w:fill="FFFFFF"/>
          <w:lang w:val="en-US" w:eastAsia="zh-CN"/>
        </w:rPr>
        <w:t>遴选</w:t>
      </w:r>
      <w:r>
        <w:rPr>
          <w:rFonts w:hint="eastAsia" w:ascii="宋体" w:hAnsi="宋体" w:eastAsia="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lang w:val="en-US" w:eastAsia="zh-CN"/>
        </w:rPr>
        <w:t>综合评分法</w:t>
      </w:r>
      <w:r>
        <w:rPr>
          <w:rFonts w:hint="eastAsia" w:ascii="宋体" w:hAnsi="宋体" w:eastAsia="宋体" w:cs="宋体"/>
          <w:color w:val="auto"/>
          <w:sz w:val="24"/>
          <w:szCs w:val="24"/>
          <w:highlight w:val="none"/>
          <w:shd w:val="clear" w:color="auto" w:fill="FFFFFF"/>
          <w:lang w:eastAsia="zh-CN"/>
        </w:rPr>
        <w:t>）</w:t>
      </w:r>
    </w:p>
    <w:p w14:paraId="2D2A6954">
      <w:pPr>
        <w:pStyle w:val="18"/>
        <w:widowControl/>
        <w:spacing w:beforeAutospacing="0" w:afterAutospacing="0" w:line="360" w:lineRule="auto"/>
        <w:ind w:firstLine="420"/>
        <w:textAlignment w:val="baseline"/>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2.项目内容：</w:t>
      </w:r>
      <w:r>
        <w:rPr>
          <w:rFonts w:hint="eastAsia" w:cs="宋体"/>
          <w:color w:val="auto"/>
          <w:sz w:val="24"/>
          <w:szCs w:val="24"/>
          <w:lang w:val="en-US" w:eastAsia="zh-CN"/>
        </w:rPr>
        <w:t>遴选1家</w:t>
      </w:r>
      <w:r>
        <w:rPr>
          <w:rFonts w:hint="eastAsia" w:ascii="宋体" w:hAnsi="宋体" w:eastAsia="宋体" w:cs="宋体"/>
          <w:color w:val="auto"/>
          <w:sz w:val="24"/>
          <w:szCs w:val="24"/>
        </w:rPr>
        <w:t>具有丰富经验、专业团队和良好信誉的食堂经营服务</w:t>
      </w:r>
      <w:r>
        <w:rPr>
          <w:rFonts w:hint="eastAsia" w:cs="宋体"/>
          <w:color w:val="auto"/>
          <w:sz w:val="24"/>
          <w:szCs w:val="24"/>
          <w:lang w:val="en-US" w:eastAsia="zh-CN"/>
        </w:rPr>
        <w:t>商</w:t>
      </w:r>
      <w:r>
        <w:rPr>
          <w:rFonts w:hint="eastAsia" w:ascii="宋体" w:hAnsi="宋体" w:eastAsia="宋体" w:cs="宋体"/>
          <w:color w:val="auto"/>
          <w:sz w:val="24"/>
          <w:szCs w:val="24"/>
        </w:rPr>
        <w:t>，以提高医院食堂整体服务水平，提供职工、患者及家属优质及干净卫生的餐饮服务。</w:t>
      </w:r>
      <w:r>
        <w:rPr>
          <w:rFonts w:hint="eastAsia" w:ascii="宋体" w:hAnsi="宋体" w:eastAsia="宋体" w:cs="宋体"/>
          <w:color w:val="auto"/>
          <w:sz w:val="24"/>
          <w:szCs w:val="24"/>
          <w:lang w:val="en-US" w:eastAsia="zh-CN"/>
        </w:rPr>
        <w:t>具体要求详见遴选文件用户需求书。</w:t>
      </w:r>
    </w:p>
    <w:p w14:paraId="47DFDA47">
      <w:pPr>
        <w:pStyle w:val="18"/>
        <w:widowControl/>
        <w:spacing w:beforeAutospacing="0" w:afterAutospacing="0" w:line="360" w:lineRule="auto"/>
        <w:ind w:firstLine="420"/>
        <w:textAlignment w:val="baseline"/>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3.注:本文件所称“业主方”即中山市小榄人民医院；“服务商”即有意参与本项目遴选的各公司。</w:t>
      </w:r>
    </w:p>
    <w:tbl>
      <w:tblPr>
        <w:tblStyle w:val="21"/>
        <w:tblW w:w="9192" w:type="dxa"/>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65"/>
        <w:gridCol w:w="1994"/>
        <w:gridCol w:w="2371"/>
        <w:gridCol w:w="2088"/>
        <w:gridCol w:w="1974"/>
      </w:tblGrid>
      <w:tr w14:paraId="0A11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765" w:type="dxa"/>
            <w:shd w:val="clear" w:color="auto" w:fill="F2F2F2"/>
            <w:tcMar>
              <w:left w:w="105" w:type="dxa"/>
              <w:right w:w="105" w:type="dxa"/>
            </w:tcMar>
            <w:vAlign w:val="center"/>
          </w:tcPr>
          <w:p w14:paraId="0B11FE06">
            <w:pPr>
              <w:pStyle w:val="18"/>
              <w:widowControl/>
              <w:spacing w:beforeAutospacing="0" w:afterAutospacing="0"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994" w:type="dxa"/>
            <w:shd w:val="clear" w:color="auto" w:fill="F2F2F2"/>
            <w:tcMar>
              <w:left w:w="105" w:type="dxa"/>
              <w:right w:w="105" w:type="dxa"/>
            </w:tcMar>
            <w:vAlign w:val="center"/>
          </w:tcPr>
          <w:p w14:paraId="59BBD523">
            <w:pPr>
              <w:pStyle w:val="18"/>
              <w:widowControl/>
              <w:spacing w:beforeAutospacing="0" w:afterAutospacing="0"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2371" w:type="dxa"/>
            <w:shd w:val="clear" w:color="auto" w:fill="F2F2F2"/>
            <w:tcMar>
              <w:left w:w="105" w:type="dxa"/>
              <w:right w:w="105" w:type="dxa"/>
            </w:tcMar>
            <w:vAlign w:val="center"/>
          </w:tcPr>
          <w:p w14:paraId="3898E5AE">
            <w:pPr>
              <w:pStyle w:val="18"/>
              <w:widowControl/>
              <w:spacing w:beforeAutospacing="0" w:afterAutospacing="0"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资金来源</w:t>
            </w:r>
            <w:r>
              <w:rPr>
                <w:rFonts w:hint="eastAsia" w:ascii="宋体" w:hAnsi="宋体" w:eastAsia="宋体" w:cs="宋体"/>
                <w:color w:val="auto"/>
                <w:sz w:val="24"/>
                <w:szCs w:val="24"/>
                <w:highlight w:val="none"/>
              </w:rPr>
              <w:t>（元）</w:t>
            </w:r>
          </w:p>
        </w:tc>
        <w:tc>
          <w:tcPr>
            <w:tcW w:w="2088" w:type="dxa"/>
            <w:shd w:val="clear" w:color="auto" w:fill="F2F2F2"/>
            <w:tcMar>
              <w:left w:w="105" w:type="dxa"/>
              <w:right w:w="105" w:type="dxa"/>
            </w:tcMar>
            <w:vAlign w:val="center"/>
          </w:tcPr>
          <w:p w14:paraId="1C79C84D">
            <w:pPr>
              <w:pStyle w:val="18"/>
              <w:widowControl/>
              <w:spacing w:beforeAutospacing="0" w:afterAutospacing="0" w:line="360" w:lineRule="auto"/>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服务期</w:t>
            </w:r>
          </w:p>
        </w:tc>
        <w:tc>
          <w:tcPr>
            <w:tcW w:w="1974" w:type="dxa"/>
            <w:shd w:val="clear" w:color="auto" w:fill="F2F2F2"/>
            <w:tcMar>
              <w:left w:w="105" w:type="dxa"/>
              <w:right w:w="105" w:type="dxa"/>
            </w:tcMar>
            <w:vAlign w:val="center"/>
          </w:tcPr>
          <w:p w14:paraId="6944A377">
            <w:pPr>
              <w:pStyle w:val="18"/>
              <w:widowControl/>
              <w:spacing w:beforeAutospacing="0" w:afterAutospacing="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备注</w:t>
            </w:r>
          </w:p>
        </w:tc>
      </w:tr>
      <w:tr w14:paraId="0420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424" w:hRule="atLeast"/>
        </w:trPr>
        <w:tc>
          <w:tcPr>
            <w:tcW w:w="765" w:type="dxa"/>
            <w:shd w:val="clear" w:color="auto" w:fill="FFFFFF"/>
            <w:noWrap/>
            <w:tcMar>
              <w:left w:w="105" w:type="dxa"/>
              <w:right w:w="105" w:type="dxa"/>
            </w:tcMar>
            <w:vAlign w:val="center"/>
          </w:tcPr>
          <w:p w14:paraId="462C8498">
            <w:pPr>
              <w:pStyle w:val="18"/>
              <w:widowControl/>
              <w:spacing w:beforeAutospacing="0" w:afterAutospacing="0" w:line="360" w:lineRule="auto"/>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94" w:type="dxa"/>
            <w:shd w:val="clear" w:color="auto" w:fill="FFFFFF"/>
            <w:noWrap/>
            <w:tcMar>
              <w:left w:w="105" w:type="dxa"/>
              <w:right w:w="105" w:type="dxa"/>
            </w:tcMar>
            <w:vAlign w:val="center"/>
          </w:tcPr>
          <w:p w14:paraId="5A4DF229">
            <w:pPr>
              <w:pStyle w:val="18"/>
              <w:widowControl/>
              <w:spacing w:beforeAutospacing="0" w:afterAutospacing="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中山市小榄人民医院食堂经营遴选项目</w:t>
            </w:r>
          </w:p>
        </w:tc>
        <w:tc>
          <w:tcPr>
            <w:tcW w:w="2371" w:type="dxa"/>
            <w:shd w:val="clear" w:color="auto" w:fill="FFFFFF"/>
            <w:noWrap/>
            <w:tcMar>
              <w:left w:w="105" w:type="dxa"/>
              <w:right w:w="105" w:type="dxa"/>
            </w:tcMar>
            <w:vAlign w:val="center"/>
          </w:tcPr>
          <w:p w14:paraId="74DD5ED0">
            <w:pPr>
              <w:pStyle w:val="18"/>
              <w:widowControl/>
              <w:numPr>
                <w:ilvl w:val="0"/>
                <w:numId w:val="0"/>
              </w:numPr>
              <w:spacing w:beforeAutospacing="0" w:afterAutospacing="0" w:line="360" w:lineRule="auto"/>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1、资金来源：由食堂经营服务商自负盈亏。</w:t>
            </w:r>
          </w:p>
          <w:p w14:paraId="050DE6A4">
            <w:pPr>
              <w:pStyle w:val="18"/>
              <w:widowControl/>
              <w:numPr>
                <w:ilvl w:val="0"/>
                <w:numId w:val="0"/>
              </w:numPr>
              <w:spacing w:beforeAutospacing="0" w:afterAutospacing="0" w:line="360" w:lineRule="auto"/>
              <w:jc w:val="left"/>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2、本项目医院不支付任何费用</w:t>
            </w:r>
          </w:p>
        </w:tc>
        <w:tc>
          <w:tcPr>
            <w:tcW w:w="2088" w:type="dxa"/>
            <w:shd w:val="clear" w:color="auto" w:fill="FFFFFF"/>
            <w:noWrap/>
            <w:tcMar>
              <w:left w:w="105" w:type="dxa"/>
              <w:right w:w="105" w:type="dxa"/>
            </w:tcMar>
            <w:vAlign w:val="center"/>
          </w:tcPr>
          <w:p w14:paraId="04AF5AB7">
            <w:pPr>
              <w:pStyle w:val="18"/>
              <w:widowControl/>
              <w:spacing w:beforeAutospacing="0" w:afterAutospacing="0" w:line="360" w:lineRule="auto"/>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kern w:val="0"/>
                <w:sz w:val="24"/>
                <w:szCs w:val="24"/>
                <w:shd w:val="clear" w:color="auto" w:fill="FFFFFF"/>
                <w:lang w:val="en-US" w:eastAsia="zh-CN" w:bidi="ar"/>
              </w:rPr>
              <w:t>自服务合同生效之日起</w:t>
            </w:r>
            <w:r>
              <w:rPr>
                <w:rFonts w:hint="eastAsia" w:ascii="宋体" w:hAnsi="宋体" w:eastAsia="宋体" w:cs="宋体"/>
                <w:i w:val="0"/>
                <w:iCs w:val="0"/>
                <w:caps w:val="0"/>
                <w:color w:val="auto"/>
                <w:spacing w:val="0"/>
                <w:kern w:val="0"/>
                <w:sz w:val="24"/>
                <w:szCs w:val="24"/>
                <w:u w:val="single"/>
                <w:shd w:val="clear" w:color="auto" w:fill="FFFFFF"/>
                <w:lang w:val="en-US" w:eastAsia="zh-CN" w:bidi="ar"/>
              </w:rPr>
              <w:t xml:space="preserve"> </w:t>
            </w:r>
            <w:r>
              <w:rPr>
                <w:rFonts w:hint="eastAsia" w:ascii="宋体" w:hAnsi="宋体" w:cs="宋体"/>
                <w:i w:val="0"/>
                <w:iCs w:val="0"/>
                <w:caps w:val="0"/>
                <w:color w:val="auto"/>
                <w:spacing w:val="0"/>
                <w:kern w:val="0"/>
                <w:sz w:val="24"/>
                <w:szCs w:val="24"/>
                <w:u w:val="single"/>
                <w:shd w:val="clear" w:color="auto" w:fill="FFFFFF"/>
                <w:lang w:val="en-US" w:eastAsia="zh-CN" w:bidi="ar"/>
              </w:rPr>
              <w:t>三</w:t>
            </w:r>
            <w:r>
              <w:rPr>
                <w:rFonts w:hint="eastAsia" w:ascii="宋体" w:hAnsi="宋体" w:eastAsia="宋体" w:cs="宋体"/>
                <w:i w:val="0"/>
                <w:iCs w:val="0"/>
                <w:caps w:val="0"/>
                <w:color w:val="auto"/>
                <w:spacing w:val="0"/>
                <w:kern w:val="0"/>
                <w:sz w:val="24"/>
                <w:szCs w:val="24"/>
                <w:u w:val="single"/>
                <w:shd w:val="clear" w:color="auto" w:fill="FFFFFF"/>
                <w:lang w:val="en-US" w:eastAsia="zh-CN" w:bidi="ar"/>
              </w:rPr>
              <w:t xml:space="preserve"> </w:t>
            </w:r>
            <w:r>
              <w:rPr>
                <w:rFonts w:hint="eastAsia" w:ascii="宋体" w:hAnsi="宋体" w:eastAsia="宋体" w:cs="宋体"/>
                <w:i w:val="0"/>
                <w:iCs w:val="0"/>
                <w:caps w:val="0"/>
                <w:color w:val="auto"/>
                <w:spacing w:val="0"/>
                <w:kern w:val="0"/>
                <w:sz w:val="24"/>
                <w:szCs w:val="24"/>
                <w:shd w:val="clear" w:color="auto" w:fill="FFFFFF"/>
                <w:lang w:val="en-US" w:eastAsia="zh-CN" w:bidi="ar"/>
              </w:rPr>
              <w:t>年</w:t>
            </w:r>
          </w:p>
        </w:tc>
        <w:tc>
          <w:tcPr>
            <w:tcW w:w="1974" w:type="dxa"/>
            <w:shd w:val="clear" w:color="auto" w:fill="FFFFFF"/>
            <w:noWrap/>
            <w:tcMar>
              <w:left w:w="105" w:type="dxa"/>
              <w:right w:w="105" w:type="dxa"/>
            </w:tcMar>
            <w:vAlign w:val="center"/>
          </w:tcPr>
          <w:p w14:paraId="446FDDD9">
            <w:pPr>
              <w:pStyle w:val="18"/>
              <w:widowControl/>
              <w:numPr>
                <w:ilvl w:val="0"/>
                <w:numId w:val="0"/>
              </w:numPr>
              <w:spacing w:beforeAutospacing="0" w:afterAutospacing="0" w:line="360" w:lineRule="auto"/>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kern w:val="0"/>
                <w:sz w:val="24"/>
                <w:szCs w:val="24"/>
                <w:shd w:val="clear" w:color="auto" w:fill="FFFFFF"/>
                <w:lang w:val="en-US" w:eastAsia="zh-CN" w:bidi="ar"/>
              </w:rPr>
              <w:t>项目具体要求，详见遴选文件。</w:t>
            </w:r>
          </w:p>
        </w:tc>
      </w:tr>
    </w:tbl>
    <w:p w14:paraId="730164F7">
      <w:pPr>
        <w:pStyle w:val="18"/>
        <w:widowControl/>
        <w:numPr>
          <w:ilvl w:val="0"/>
          <w:numId w:val="2"/>
        </w:numPr>
        <w:spacing w:beforeAutospacing="0" w:afterAutospacing="0" w:line="360" w:lineRule="auto"/>
        <w:ind w:firstLine="0"/>
        <w:textAlignment w:val="baseline"/>
        <w:rPr>
          <w:rFonts w:hint="eastAsia" w:ascii="宋体" w:hAnsi="宋体" w:eastAsia="宋体" w:cs="宋体"/>
          <w:color w:val="auto"/>
          <w:sz w:val="24"/>
          <w:szCs w:val="24"/>
          <w:highlight w:val="none"/>
        </w:rPr>
      </w:pPr>
      <w:r>
        <w:rPr>
          <w:rStyle w:val="24"/>
          <w:rFonts w:hint="eastAsia" w:ascii="宋体" w:hAnsi="宋体" w:eastAsia="宋体" w:cs="宋体"/>
          <w:bCs/>
          <w:color w:val="auto"/>
          <w:sz w:val="24"/>
          <w:szCs w:val="24"/>
          <w:highlight w:val="none"/>
          <w:shd w:val="clear" w:color="auto" w:fill="FFFFFF"/>
          <w:lang w:val="en-US" w:eastAsia="zh-CN"/>
        </w:rPr>
        <w:t>服务商</w:t>
      </w:r>
      <w:r>
        <w:rPr>
          <w:rStyle w:val="24"/>
          <w:rFonts w:hint="eastAsia" w:ascii="宋体" w:hAnsi="宋体" w:eastAsia="宋体" w:cs="宋体"/>
          <w:bCs/>
          <w:color w:val="auto"/>
          <w:sz w:val="24"/>
          <w:szCs w:val="24"/>
          <w:highlight w:val="none"/>
          <w:shd w:val="clear" w:color="auto" w:fill="FFFFFF"/>
        </w:rPr>
        <w:t>的资格要求</w:t>
      </w:r>
    </w:p>
    <w:p w14:paraId="037AA1BF">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具有独立承担民事责任的能力：提供在中华人民共和国境内注册的法人或其他组织的营业执照或事业单位法人证书或社会团体法人登记证书扫描件及食品药品经营许可证扫描件；如国家另有规定的，则从其规定。且营业范围包括餐饮管理或饮食管理或食品经营管理。</w:t>
      </w:r>
    </w:p>
    <w:p w14:paraId="72570DB6">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2.有依法缴纳税收和社会保障资金的良好记录：报名截止日前6个月内任意1个月依法缴纳税收和社会保障资金的相关材料。如依法免税或不需要缴纳社会保障资金的，提供相应证明材料。</w:t>
      </w:r>
    </w:p>
    <w:p w14:paraId="05CA17F8">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3.具有良好的商业信誉和健全的财务会计制度：提供2024年度财务状况报告扫描件或报名截止日前6个月内任意1个月的财务报表扫描件或基本开户行出具的资信证明扫描件。</w:t>
      </w:r>
    </w:p>
    <w:p w14:paraId="796C9FA7">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4.履行合同所必需的设备和专业技术能力：提供“具有履行合同所必需的设备和专业技术能力”的声明或承诺，或提供“具有设备和专业技术能力（人员）”的相关证明资料，或提供《设备和专业技术能力（人员）情况表》（格式自拟）。</w:t>
      </w:r>
    </w:p>
    <w:p w14:paraId="60248888">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5.参加本次遴选活动前三年内，在经营活动中没有重大违法记录，提供承诺函。重大违法记录，是指供应商因违法经营受到刑事处罚或者责令停产停业、吊销许可证或者执照、较大数额罚款等行政处罚。若投标人同时提供承诺函和证明材料的，资格审查时以证明材料为准。（根据财库〔2022〕3号文，“较大数额罚款”认定为200万元以上的罚款，法律、行政法规以及国务院有关部门明确规定相关领域“较大数额罚款”标准高于200万元的，从其规定）。</w:t>
      </w:r>
    </w:p>
    <w:p w14:paraId="4E8BABDD">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6.参选公司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2928EDE7">
      <w:pPr>
        <w:pStyle w:val="31"/>
        <w:spacing w:line="360" w:lineRule="auto"/>
        <w:ind w:firstLine="480" w:firstLineChars="200"/>
        <w:rPr>
          <w:rFonts w:hint="eastAsia" w:ascii="宋体" w:hAnsi="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7.单位负责人为同一人或者存在直接控股、管理关系的不同参选公司，不得同时参加本项目。参选公司提供承诺函。</w:t>
      </w:r>
    </w:p>
    <w:p w14:paraId="0C957B84">
      <w:pPr>
        <w:pStyle w:val="18"/>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firstLine="0" w:firstLineChars="0"/>
        <w:jc w:val="both"/>
        <w:textAlignment w:val="baseline"/>
        <w:rPr>
          <w:rStyle w:val="24"/>
          <w:rFonts w:hint="eastAsia" w:ascii="宋体" w:hAnsi="宋体" w:eastAsia="宋体" w:cs="宋体"/>
          <w:b/>
          <w:bCs/>
          <w:i w:val="0"/>
          <w:iCs w:val="0"/>
          <w:caps w:val="0"/>
          <w:color w:val="auto"/>
          <w:spacing w:val="0"/>
          <w:sz w:val="24"/>
          <w:szCs w:val="24"/>
          <w:highlight w:val="none"/>
          <w:shd w:val="clear" w:fill="FFFFFF"/>
          <w:vertAlign w:val="baseline"/>
          <w:lang w:val="en-US"/>
        </w:rPr>
      </w:pPr>
      <w:r>
        <w:rPr>
          <w:rStyle w:val="24"/>
          <w:rFonts w:hint="eastAsia" w:ascii="宋体" w:hAnsi="宋体" w:eastAsia="宋体" w:cs="宋体"/>
          <w:b/>
          <w:bCs/>
          <w:i w:val="0"/>
          <w:iCs w:val="0"/>
          <w:caps w:val="0"/>
          <w:color w:val="auto"/>
          <w:spacing w:val="0"/>
          <w:sz w:val="24"/>
          <w:szCs w:val="24"/>
          <w:highlight w:val="none"/>
          <w:shd w:val="clear" w:fill="FFFFFF"/>
          <w:vertAlign w:val="baseline"/>
          <w:lang w:val="en-US" w:eastAsia="zh-CN"/>
        </w:rPr>
        <w:t>报名截止时间、响应文件递交方式</w:t>
      </w:r>
    </w:p>
    <w:p w14:paraId="0E8D7C1C">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textAlignment w:val="baseline"/>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1.报名</w:t>
      </w:r>
      <w:r>
        <w:rPr>
          <w:rFonts w:hint="eastAsia" w:ascii="宋体" w:hAnsi="宋体" w:eastAsia="宋体" w:cs="宋体"/>
          <w:i w:val="0"/>
          <w:iCs w:val="0"/>
          <w:caps w:val="0"/>
          <w:color w:val="auto"/>
          <w:spacing w:val="0"/>
          <w:sz w:val="24"/>
          <w:szCs w:val="24"/>
          <w:highlight w:val="none"/>
          <w:shd w:val="clear" w:fill="FFFFFF"/>
        </w:rPr>
        <w:t>截止时间：</w:t>
      </w:r>
      <w:r>
        <w:rPr>
          <w:rFonts w:hint="eastAsia" w:ascii="宋体" w:hAnsi="宋体" w:eastAsia="宋体" w:cs="宋体"/>
          <w:i w:val="0"/>
          <w:iCs w:val="0"/>
          <w:caps w:val="0"/>
          <w:color w:val="auto"/>
          <w:spacing w:val="0"/>
          <w:sz w:val="24"/>
          <w:szCs w:val="24"/>
          <w:highlight w:val="none"/>
          <w:shd w:val="clear" w:fill="FFFFFF"/>
          <w:lang w:val="en-US" w:eastAsia="zh-CN"/>
        </w:rPr>
        <w:t>2025</w:t>
      </w:r>
      <w:r>
        <w:rPr>
          <w:rFonts w:hint="eastAsia" w:ascii="宋体" w:hAnsi="宋体" w:eastAsia="宋体" w:cs="宋体"/>
          <w:i w:val="0"/>
          <w:iCs w:val="0"/>
          <w:caps w:val="0"/>
          <w:color w:val="auto"/>
          <w:spacing w:val="0"/>
          <w:sz w:val="24"/>
          <w:szCs w:val="24"/>
          <w:highlight w:val="none"/>
          <w:shd w:val="clear" w:fill="FFFFFF"/>
        </w:rPr>
        <w:t>年</w:t>
      </w:r>
      <w:r>
        <w:rPr>
          <w:rFonts w:hint="eastAsia" w:cs="宋体"/>
          <w:i w:val="0"/>
          <w:iCs w:val="0"/>
          <w:caps w:val="0"/>
          <w:color w:val="auto"/>
          <w:spacing w:val="0"/>
          <w:sz w:val="24"/>
          <w:szCs w:val="24"/>
          <w:highlight w:val="none"/>
          <w:shd w:val="clear" w:fill="FFFFFF"/>
          <w:lang w:val="en-US" w:eastAsia="zh-CN"/>
        </w:rPr>
        <w:t>7</w:t>
      </w:r>
      <w:r>
        <w:rPr>
          <w:rFonts w:hint="eastAsia" w:ascii="宋体" w:hAnsi="宋体" w:eastAsia="宋体" w:cs="宋体"/>
          <w:i w:val="0"/>
          <w:iCs w:val="0"/>
          <w:caps w:val="0"/>
          <w:color w:val="auto"/>
          <w:spacing w:val="0"/>
          <w:sz w:val="24"/>
          <w:szCs w:val="24"/>
          <w:highlight w:val="none"/>
          <w:shd w:val="clear" w:fill="FFFFFF"/>
        </w:rPr>
        <w:t>月</w:t>
      </w:r>
      <w:r>
        <w:rPr>
          <w:rFonts w:hint="eastAsia" w:cs="宋体"/>
          <w:i w:val="0"/>
          <w:iCs w:val="0"/>
          <w:caps w:val="0"/>
          <w:color w:val="auto"/>
          <w:spacing w:val="0"/>
          <w:sz w:val="24"/>
          <w:szCs w:val="24"/>
          <w:highlight w:val="none"/>
          <w:shd w:val="clear" w:fill="FFFFFF"/>
          <w:lang w:val="en-US" w:eastAsia="zh-CN"/>
        </w:rPr>
        <w:t>4</w:t>
      </w:r>
      <w:r>
        <w:rPr>
          <w:rFonts w:hint="eastAsia" w:ascii="宋体" w:hAnsi="宋体" w:eastAsia="宋体" w:cs="宋体"/>
          <w:i w:val="0"/>
          <w:iCs w:val="0"/>
          <w:caps w:val="0"/>
          <w:color w:val="auto"/>
          <w:spacing w:val="0"/>
          <w:sz w:val="24"/>
          <w:szCs w:val="24"/>
          <w:highlight w:val="none"/>
          <w:shd w:val="clear" w:fill="FFFFFF"/>
        </w:rPr>
        <w:t>日</w:t>
      </w:r>
      <w:r>
        <w:rPr>
          <w:rFonts w:hint="eastAsia" w:ascii="宋体" w:hAnsi="宋体" w:eastAsia="宋体" w:cs="宋体"/>
          <w:i w:val="0"/>
          <w:iCs w:val="0"/>
          <w:caps w:val="0"/>
          <w:color w:val="auto"/>
          <w:spacing w:val="0"/>
          <w:sz w:val="24"/>
          <w:szCs w:val="24"/>
          <w:highlight w:val="none"/>
          <w:shd w:val="clear" w:fill="FFFFFF"/>
          <w:lang w:val="en-US" w:eastAsia="zh-CN"/>
        </w:rPr>
        <w:t>16</w:t>
      </w:r>
      <w:r>
        <w:rPr>
          <w:rFonts w:hint="eastAsia" w:ascii="宋体" w:hAnsi="宋体" w:eastAsia="宋体" w:cs="宋体"/>
          <w:i w:val="0"/>
          <w:iCs w:val="0"/>
          <w:caps w:val="0"/>
          <w:color w:val="auto"/>
          <w:spacing w:val="0"/>
          <w:sz w:val="24"/>
          <w:szCs w:val="24"/>
          <w:highlight w:val="none"/>
          <w:shd w:val="clear" w:fill="FFFFFF"/>
        </w:rPr>
        <w:t>:00（北京时间）</w:t>
      </w:r>
    </w:p>
    <w:p w14:paraId="766FC389">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textAlignment w:val="baseline"/>
        <w:rPr>
          <w:rFonts w:hint="eastAsia"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kern w:val="0"/>
          <w:sz w:val="24"/>
          <w:szCs w:val="24"/>
          <w:highlight w:val="none"/>
          <w:shd w:val="clear" w:fill="FFFFFF"/>
          <w:vertAlign w:val="baseline"/>
          <w:lang w:val="en-US" w:eastAsia="zh-CN" w:bidi="ar-SA"/>
        </w:rPr>
        <w:t>2.</w:t>
      </w:r>
      <w:r>
        <w:rPr>
          <w:rFonts w:hint="eastAsia" w:ascii="宋体" w:hAnsi="宋体" w:eastAsia="宋体" w:cs="宋体"/>
          <w:i w:val="0"/>
          <w:iCs w:val="0"/>
          <w:caps w:val="0"/>
          <w:color w:val="auto"/>
          <w:spacing w:val="0"/>
          <w:sz w:val="24"/>
          <w:szCs w:val="24"/>
          <w:highlight w:val="none"/>
          <w:shd w:val="clear" w:fill="FFFFFF"/>
          <w:lang w:val="en-US" w:eastAsia="zh-CN"/>
        </w:rPr>
        <w:t>响应</w:t>
      </w:r>
      <w:r>
        <w:rPr>
          <w:rFonts w:hint="eastAsia" w:ascii="宋体" w:hAnsi="宋体" w:eastAsia="宋体" w:cs="宋体"/>
          <w:i w:val="0"/>
          <w:iCs w:val="0"/>
          <w:caps w:val="0"/>
          <w:color w:val="auto"/>
          <w:spacing w:val="0"/>
          <w:sz w:val="24"/>
          <w:szCs w:val="24"/>
          <w:highlight w:val="none"/>
          <w:shd w:val="clear" w:fill="FFFFFF"/>
        </w:rPr>
        <w:t>文件递交份数：6份（1份正本、5份副本）</w:t>
      </w:r>
    </w:p>
    <w:p w14:paraId="1FCEF7A9">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textAlignment w:val="baseline"/>
        <w:rPr>
          <w:rFonts w:hint="eastAsia"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响应文件递交方式：</w:t>
      </w:r>
    </w:p>
    <w:p w14:paraId="5A4FE8A0">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Chars="0" w:right="0" w:rightChars="0" w:firstLine="480" w:firstLineChars="200"/>
        <w:textAlignment w:val="baseline"/>
        <w:rPr>
          <w:rFonts w:hint="default"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服务商须</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将已加盖公章的响应文件（扫描版）发送至指定的报名邮箱（请确保邮件标题注明：项目名称+服务商名称），并在报名截止时间前将纸质盖章响应文件按要求份数邮寄至中山市小榄人民医院内科楼九楼</w:t>
      </w:r>
      <w:r>
        <w:rPr>
          <w:rFonts w:hint="eastAsia" w:cs="宋体"/>
          <w:b w:val="0"/>
          <w:bCs w:val="0"/>
          <w:i w:val="0"/>
          <w:iCs w:val="0"/>
          <w:caps w:val="0"/>
          <w:color w:val="auto"/>
          <w:spacing w:val="0"/>
          <w:sz w:val="24"/>
          <w:szCs w:val="24"/>
          <w:highlight w:val="none"/>
          <w:shd w:val="clear" w:fill="FFFFFF"/>
          <w:vertAlign w:val="baseline"/>
          <w:lang w:val="en-US" w:eastAsia="zh-CN"/>
        </w:rPr>
        <w:t>总务科</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w:t>
      </w:r>
    </w:p>
    <w:p w14:paraId="0CACAF3B">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b w:val="0"/>
          <w:bCs w:val="0"/>
          <w:i w:val="0"/>
          <w:iCs w:val="0"/>
          <w:caps w:val="0"/>
          <w:color w:val="auto"/>
          <w:spacing w:val="0"/>
          <w:kern w:val="0"/>
          <w:sz w:val="24"/>
          <w:szCs w:val="24"/>
          <w:highlight w:val="none"/>
          <w:shd w:val="clear" w:fill="FFFFFF"/>
          <w:vertAlign w:val="baseline"/>
          <w:lang w:val="en-US" w:eastAsia="zh-CN" w:bidi="ar-SA"/>
        </w:rPr>
        <w:t>（1）电子</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邮箱：xlyyhqbz@126.com</w:t>
      </w:r>
    </w:p>
    <w:p w14:paraId="08017FB9">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textAlignment w:val="baseline"/>
        <w:rPr>
          <w:rFonts w:hint="default" w:ascii="宋体" w:hAnsi="宋体" w:eastAsia="宋体" w:cs="宋体"/>
          <w:b w:val="0"/>
          <w:bCs w:val="0"/>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b w:val="0"/>
          <w:bCs w:val="0"/>
          <w:i w:val="0"/>
          <w:iCs w:val="0"/>
          <w:caps w:val="0"/>
          <w:color w:val="auto"/>
          <w:spacing w:val="0"/>
          <w:kern w:val="0"/>
          <w:sz w:val="24"/>
          <w:szCs w:val="24"/>
          <w:highlight w:val="none"/>
          <w:shd w:val="clear" w:fill="FFFFFF"/>
          <w:vertAlign w:val="baseline"/>
          <w:lang w:val="en-US" w:eastAsia="zh-CN" w:bidi="ar-SA"/>
        </w:rPr>
        <w:t>（2）</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邮寄</w:t>
      </w:r>
      <w:r>
        <w:rPr>
          <w:rFonts w:hint="eastAsia" w:cs="宋体"/>
          <w:b w:val="0"/>
          <w:bCs w:val="0"/>
          <w:i w:val="0"/>
          <w:iCs w:val="0"/>
          <w:caps w:val="0"/>
          <w:color w:val="auto"/>
          <w:spacing w:val="0"/>
          <w:sz w:val="24"/>
          <w:szCs w:val="24"/>
          <w:highlight w:val="none"/>
          <w:shd w:val="clear" w:fill="FFFFFF"/>
          <w:vertAlign w:val="baseline"/>
          <w:lang w:val="en-US" w:eastAsia="zh-CN"/>
        </w:rPr>
        <w:t>:</w:t>
      </w:r>
    </w:p>
    <w:p w14:paraId="6C7B4F34">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收件人：</w:t>
      </w:r>
      <w:r>
        <w:rPr>
          <w:rFonts w:hint="eastAsia" w:cs="宋体"/>
          <w:b w:val="0"/>
          <w:bCs w:val="0"/>
          <w:i w:val="0"/>
          <w:iCs w:val="0"/>
          <w:caps w:val="0"/>
          <w:color w:val="auto"/>
          <w:spacing w:val="0"/>
          <w:sz w:val="24"/>
          <w:szCs w:val="24"/>
          <w:highlight w:val="none"/>
          <w:shd w:val="clear" w:fill="FFFFFF"/>
          <w:vertAlign w:val="baseline"/>
          <w:lang w:val="en-US" w:eastAsia="zh-CN"/>
        </w:rPr>
        <w:t>何小姐</w:t>
      </w:r>
    </w:p>
    <w:p w14:paraId="27D5975D">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default" w:ascii="宋体" w:hAnsi="宋体" w:eastAsia="宋体" w:cs="宋体"/>
          <w:b w:val="0"/>
          <w:bCs w:val="0"/>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收件电话：0760-</w:t>
      </w:r>
      <w:r>
        <w:rPr>
          <w:rFonts w:hint="eastAsia" w:cs="宋体"/>
          <w:b w:val="0"/>
          <w:bCs w:val="0"/>
          <w:i w:val="0"/>
          <w:iCs w:val="0"/>
          <w:caps w:val="0"/>
          <w:color w:val="auto"/>
          <w:spacing w:val="0"/>
          <w:sz w:val="24"/>
          <w:szCs w:val="24"/>
          <w:highlight w:val="none"/>
          <w:shd w:val="clear" w:fill="FFFFFF"/>
          <w:vertAlign w:val="baseline"/>
          <w:lang w:val="en-US" w:eastAsia="zh-CN"/>
        </w:rPr>
        <w:t>88662120-8120</w:t>
      </w:r>
    </w:p>
    <w:p w14:paraId="5B626E8B">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收件地址：中山市小榄镇菊城大道中65号（小榄人民医院内科楼九楼</w:t>
      </w:r>
      <w:r>
        <w:rPr>
          <w:rFonts w:hint="eastAsia" w:cs="宋体"/>
          <w:b w:val="0"/>
          <w:bCs w:val="0"/>
          <w:i w:val="0"/>
          <w:iCs w:val="0"/>
          <w:caps w:val="0"/>
          <w:color w:val="auto"/>
          <w:spacing w:val="0"/>
          <w:sz w:val="24"/>
          <w:szCs w:val="24"/>
          <w:highlight w:val="none"/>
          <w:shd w:val="clear" w:fill="FFFFFF"/>
          <w:vertAlign w:val="baseline"/>
          <w:lang w:val="en-US" w:eastAsia="zh-CN"/>
        </w:rPr>
        <w:t>总务科</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w:t>
      </w:r>
    </w:p>
    <w:p w14:paraId="03A3F2EE">
      <w:pPr>
        <w:pStyle w:val="18"/>
        <w:widowControl/>
        <w:numPr>
          <w:ilvl w:val="0"/>
          <w:numId w:val="2"/>
        </w:numPr>
        <w:shd w:val="clear" w:color="auto" w:fill="FFFFFF"/>
        <w:spacing w:beforeAutospacing="0" w:afterAutospacing="0" w:line="360" w:lineRule="auto"/>
        <w:ind w:firstLine="0"/>
        <w:jc w:val="both"/>
        <w:textAlignment w:val="baseline"/>
        <w:rPr>
          <w:rFonts w:hint="eastAsia" w:ascii="宋体" w:hAnsi="宋体" w:eastAsia="宋体" w:cs="宋体"/>
          <w:b/>
          <w:bCs/>
          <w:color w:val="auto"/>
          <w:sz w:val="24"/>
          <w:szCs w:val="24"/>
          <w:highlight w:val="none"/>
        </w:rPr>
      </w:pPr>
      <w:r>
        <w:rPr>
          <w:rStyle w:val="24"/>
          <w:rFonts w:hint="eastAsia" w:ascii="宋体" w:hAnsi="宋体" w:eastAsia="宋体" w:cs="宋体"/>
          <w:bCs/>
          <w:color w:val="auto"/>
          <w:sz w:val="24"/>
          <w:szCs w:val="24"/>
          <w:highlight w:val="none"/>
          <w:shd w:val="clear" w:color="auto" w:fill="FFFFFF"/>
        </w:rPr>
        <w:t>公告期限</w:t>
      </w:r>
    </w:p>
    <w:p w14:paraId="4F52BF2A">
      <w:pPr>
        <w:pStyle w:val="18"/>
        <w:widowControl/>
        <w:shd w:val="clear" w:color="auto" w:fill="FFFFFF"/>
        <w:spacing w:beforeAutospacing="0" w:afterAutospacing="0" w:line="360" w:lineRule="auto"/>
        <w:ind w:firstLine="420"/>
        <w:textAlignment w:val="baseline"/>
        <w:rPr>
          <w:rStyle w:val="24"/>
          <w:rFonts w:hint="eastAsia" w:ascii="宋体" w:hAnsi="宋体" w:eastAsia="宋体" w:cs="宋体"/>
          <w:bCs/>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自本公告发布之日起</w:t>
      </w:r>
      <w:r>
        <w:rPr>
          <w:rFonts w:hint="eastAsia" w:ascii="宋体" w:hAnsi="宋体" w:eastAsia="宋体" w:cs="宋体"/>
          <w:color w:val="auto"/>
          <w:sz w:val="24"/>
          <w:szCs w:val="24"/>
          <w:highlight w:val="none"/>
          <w:shd w:val="clear" w:color="auto" w:fill="FFFFFF"/>
          <w:lang w:val="en-US" w:eastAsia="zh-CN"/>
        </w:rPr>
        <w:t>五</w:t>
      </w:r>
      <w:r>
        <w:rPr>
          <w:rFonts w:hint="eastAsia" w:ascii="宋体" w:hAnsi="宋体" w:eastAsia="宋体" w:cs="宋体"/>
          <w:color w:val="auto"/>
          <w:sz w:val="24"/>
          <w:szCs w:val="24"/>
          <w:highlight w:val="none"/>
          <w:shd w:val="clear" w:color="auto" w:fill="FFFFFF"/>
        </w:rPr>
        <w:t>个工作日。</w:t>
      </w:r>
    </w:p>
    <w:p w14:paraId="39C93A53">
      <w:pPr>
        <w:pStyle w:val="18"/>
        <w:widowControl/>
        <w:numPr>
          <w:ilvl w:val="0"/>
          <w:numId w:val="2"/>
        </w:numPr>
        <w:shd w:val="clear" w:color="auto" w:fill="FFFFFF"/>
        <w:spacing w:beforeAutospacing="0" w:afterAutospacing="0" w:line="360" w:lineRule="auto"/>
        <w:ind w:firstLine="0"/>
        <w:jc w:val="both"/>
        <w:textAlignment w:val="baseline"/>
        <w:rPr>
          <w:rFonts w:hint="eastAsia" w:ascii="宋体" w:hAnsi="宋体" w:eastAsia="宋体" w:cs="宋体"/>
          <w:b/>
          <w:bCs/>
          <w:color w:val="auto"/>
          <w:sz w:val="24"/>
          <w:szCs w:val="24"/>
          <w:highlight w:val="none"/>
        </w:rPr>
      </w:pPr>
      <w:r>
        <w:rPr>
          <w:rStyle w:val="24"/>
          <w:rFonts w:hint="eastAsia" w:ascii="宋体" w:hAnsi="宋体" w:eastAsia="宋体" w:cs="宋体"/>
          <w:bCs/>
          <w:color w:val="auto"/>
          <w:sz w:val="24"/>
          <w:szCs w:val="24"/>
          <w:highlight w:val="none"/>
          <w:shd w:val="clear" w:color="auto" w:fill="FFFFFF"/>
          <w:lang w:val="en-US" w:eastAsia="zh-CN"/>
        </w:rPr>
        <w:t>响应</w:t>
      </w:r>
      <w:r>
        <w:rPr>
          <w:rStyle w:val="24"/>
          <w:rFonts w:hint="eastAsia" w:ascii="宋体" w:hAnsi="宋体" w:eastAsia="宋体" w:cs="宋体"/>
          <w:bCs/>
          <w:color w:val="auto"/>
          <w:sz w:val="24"/>
          <w:szCs w:val="24"/>
          <w:highlight w:val="none"/>
          <w:shd w:val="clear" w:color="auto" w:fill="FFFFFF"/>
          <w:lang w:eastAsia="zh-CN"/>
        </w:rPr>
        <w:t>文件</w:t>
      </w:r>
      <w:r>
        <w:rPr>
          <w:rStyle w:val="24"/>
          <w:rFonts w:hint="eastAsia" w:ascii="宋体" w:hAnsi="宋体" w:eastAsia="宋体" w:cs="宋体"/>
          <w:bCs/>
          <w:color w:val="auto"/>
          <w:sz w:val="24"/>
          <w:szCs w:val="24"/>
          <w:highlight w:val="none"/>
          <w:shd w:val="clear" w:color="auto" w:fill="FFFFFF"/>
        </w:rPr>
        <w:t>要求</w:t>
      </w:r>
    </w:p>
    <w:p w14:paraId="41A050E6">
      <w:pPr>
        <w:pStyle w:val="11"/>
        <w:keepNext w:val="0"/>
        <w:keepLines w:val="0"/>
        <w:pageBreakBefore w:val="0"/>
        <w:widowControl w:val="0"/>
        <w:numPr>
          <w:ilvl w:val="0"/>
          <w:numId w:val="0"/>
        </w:numPr>
        <w:tabs>
          <w:tab w:val="left" w:pos="0"/>
        </w:tabs>
        <w:kinsoku/>
        <w:wordWrap/>
        <w:overflowPunct/>
        <w:topLinePunct w:val="0"/>
        <w:autoSpaceDE/>
        <w:autoSpaceDN/>
        <w:bidi w:val="0"/>
        <w:adjustRightInd w:val="0"/>
        <w:snapToGrid w:val="0"/>
        <w:spacing w:line="360" w:lineRule="auto"/>
        <w:ind w:left="709" w:leftChars="0" w:hanging="709" w:firstLineChars="0"/>
        <w:textAlignment w:val="auto"/>
        <w:rPr>
          <w:rFonts w:hint="eastAsia" w:ascii="宋体" w:hAnsi="宋体" w:eastAsia="宋体" w:cs="宋体"/>
          <w:color w:val="auto"/>
          <w:sz w:val="24"/>
          <w:szCs w:val="24"/>
          <w:highlight w:val="none"/>
        </w:rPr>
      </w:pPr>
      <w:r>
        <w:rPr>
          <w:rFonts w:hint="eastAsia" w:hAnsi="宋体" w:cs="宋体"/>
          <w:color w:val="auto"/>
          <w:kern w:val="2"/>
          <w:sz w:val="24"/>
          <w:szCs w:val="24"/>
          <w:highlight w:val="none"/>
          <w:lang w:val="en-US" w:eastAsia="zh-CN" w:bidi="ar-SA"/>
        </w:rPr>
        <w:t>1.</w:t>
      </w:r>
      <w:r>
        <w:rPr>
          <w:rFonts w:hint="eastAsia" w:ascii="宋体" w:hAnsi="宋体" w:eastAsia="宋体" w:cs="宋体"/>
          <w:color w:val="auto"/>
          <w:sz w:val="24"/>
          <w:szCs w:val="24"/>
          <w:highlight w:val="none"/>
          <w:shd w:val="clear" w:color="auto" w:fill="FFFFFF"/>
        </w:rPr>
        <w:t>报名时请各</w:t>
      </w:r>
      <w:r>
        <w:rPr>
          <w:rFonts w:hint="eastAsia" w:ascii="宋体" w:hAnsi="宋体" w:eastAsia="宋体" w:cs="宋体"/>
          <w:color w:val="auto"/>
          <w:sz w:val="24"/>
          <w:szCs w:val="24"/>
          <w:highlight w:val="none"/>
          <w:shd w:val="clear" w:color="auto" w:fill="FFFFFF"/>
          <w:lang w:val="en-US" w:eastAsia="zh-CN"/>
        </w:rPr>
        <w:t>服务商</w:t>
      </w:r>
      <w:r>
        <w:rPr>
          <w:rFonts w:hint="eastAsia" w:ascii="宋体" w:hAnsi="宋体" w:eastAsia="宋体" w:cs="宋体"/>
          <w:color w:val="auto"/>
          <w:sz w:val="24"/>
          <w:szCs w:val="24"/>
          <w:highlight w:val="none"/>
          <w:shd w:val="clear" w:color="auto" w:fill="FFFFFF"/>
        </w:rPr>
        <w:t>按照</w:t>
      </w:r>
      <w:r>
        <w:rPr>
          <w:rFonts w:hint="eastAsia" w:ascii="宋体" w:hAnsi="宋体" w:eastAsia="宋体" w:cs="宋体"/>
          <w:color w:val="auto"/>
          <w:sz w:val="24"/>
          <w:szCs w:val="24"/>
          <w:highlight w:val="none"/>
          <w:shd w:val="clear" w:color="auto" w:fill="FFFFFF"/>
          <w:lang w:val="en-US" w:eastAsia="zh-CN"/>
        </w:rPr>
        <w:t>响应文件模版</w:t>
      </w:r>
      <w:r>
        <w:rPr>
          <w:rFonts w:hint="eastAsia" w:ascii="宋体" w:hAnsi="宋体" w:eastAsia="宋体" w:cs="宋体"/>
          <w:color w:val="auto"/>
          <w:sz w:val="24"/>
          <w:szCs w:val="24"/>
          <w:highlight w:val="none"/>
          <w:shd w:val="clear" w:color="auto" w:fill="FFFFFF"/>
        </w:rPr>
        <w:t>要求提供完整的</w:t>
      </w:r>
      <w:r>
        <w:rPr>
          <w:rFonts w:hint="eastAsia" w:ascii="宋体" w:hAnsi="宋体" w:eastAsia="宋体" w:cs="宋体"/>
          <w:color w:val="auto"/>
          <w:sz w:val="24"/>
          <w:szCs w:val="24"/>
          <w:highlight w:val="none"/>
          <w:shd w:val="clear" w:color="auto" w:fill="FFFFFF"/>
          <w:lang w:val="en-US" w:eastAsia="zh-CN"/>
        </w:rPr>
        <w:t>响应</w:t>
      </w:r>
      <w:r>
        <w:rPr>
          <w:rFonts w:hint="eastAsia" w:ascii="宋体" w:hAnsi="宋体" w:eastAsia="宋体" w:cs="宋体"/>
          <w:color w:val="auto"/>
          <w:sz w:val="24"/>
          <w:szCs w:val="24"/>
          <w:highlight w:val="none"/>
          <w:shd w:val="clear" w:color="auto" w:fill="FFFFFF"/>
          <w:lang w:eastAsia="zh-CN"/>
        </w:rPr>
        <w:t>文件</w:t>
      </w:r>
      <w:r>
        <w:rPr>
          <w:rFonts w:hint="eastAsia" w:ascii="宋体" w:hAnsi="宋体" w:eastAsia="宋体" w:cs="宋体"/>
          <w:color w:val="auto"/>
          <w:sz w:val="24"/>
          <w:szCs w:val="24"/>
          <w:highlight w:val="none"/>
        </w:rPr>
        <w:t>。</w:t>
      </w:r>
    </w:p>
    <w:p w14:paraId="13DF6DDF">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425" w:leftChars="0" w:right="0" w:rightChars="0" w:hanging="425" w:firstLineChars="0"/>
        <w:jc w:val="both"/>
        <w:textAlignment w:val="baseline"/>
        <w:rPr>
          <w:rStyle w:val="24"/>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b w:val="0"/>
          <w:bCs w:val="0"/>
          <w:i w:val="0"/>
          <w:iCs w:val="0"/>
          <w:caps w:val="0"/>
          <w:color w:val="auto"/>
          <w:spacing w:val="0"/>
          <w:kern w:val="0"/>
          <w:sz w:val="24"/>
          <w:szCs w:val="24"/>
          <w:highlight w:val="none"/>
          <w:shd w:val="clear" w:fill="FFFFFF"/>
          <w:vertAlign w:val="baseline"/>
          <w:lang w:val="en-US" w:eastAsia="zh-CN" w:bidi="ar-SA"/>
        </w:rPr>
        <w:t>2.</w:t>
      </w:r>
      <w:r>
        <w:rPr>
          <w:rStyle w:val="24"/>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响应文件内容均需盖公章。</w:t>
      </w:r>
    </w:p>
    <w:p w14:paraId="2712456F">
      <w:pPr>
        <w:pStyle w:val="18"/>
        <w:widowControl/>
        <w:numPr>
          <w:ilvl w:val="0"/>
          <w:numId w:val="2"/>
        </w:numPr>
        <w:shd w:val="clear" w:color="auto" w:fill="FFFFFF"/>
        <w:spacing w:beforeAutospacing="0" w:afterAutospacing="0" w:line="360" w:lineRule="auto"/>
        <w:ind w:firstLine="0"/>
        <w:jc w:val="both"/>
        <w:textAlignment w:val="baseline"/>
        <w:rPr>
          <w:rStyle w:val="24"/>
          <w:rFonts w:hint="eastAsia" w:ascii="宋体" w:hAnsi="宋体" w:eastAsia="宋体" w:cs="宋体"/>
          <w:bCs/>
          <w:color w:val="auto"/>
          <w:sz w:val="24"/>
          <w:szCs w:val="24"/>
          <w:highlight w:val="none"/>
          <w:shd w:val="clear" w:color="auto" w:fill="FFFFFF"/>
        </w:rPr>
      </w:pPr>
      <w:r>
        <w:rPr>
          <w:rStyle w:val="24"/>
          <w:rFonts w:hint="eastAsia" w:ascii="宋体" w:hAnsi="宋体" w:eastAsia="宋体" w:cs="宋体"/>
          <w:bCs/>
          <w:color w:val="auto"/>
          <w:sz w:val="24"/>
          <w:szCs w:val="24"/>
          <w:highlight w:val="none"/>
          <w:shd w:val="clear" w:color="auto" w:fill="FFFFFF"/>
          <w:lang w:val="en-US" w:eastAsia="zh-CN"/>
        </w:rPr>
        <w:t>其他补充事宜</w:t>
      </w:r>
    </w:p>
    <w:p w14:paraId="16ADADF3">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b w:val="0"/>
          <w:bCs w:val="0"/>
          <w:i w:val="0"/>
          <w:iCs w:val="0"/>
          <w:caps w:val="0"/>
          <w:color w:val="auto"/>
          <w:spacing w:val="0"/>
          <w:kern w:val="0"/>
          <w:sz w:val="24"/>
          <w:szCs w:val="24"/>
          <w:highlight w:val="none"/>
          <w:shd w:val="clear" w:fill="FFFFFF"/>
          <w:vertAlign w:val="baseline"/>
          <w:lang w:val="en-US" w:eastAsia="zh-CN" w:bidi="ar-SA"/>
        </w:rPr>
        <w:t>1.</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如纸质文件与电子扫描件存在不一致，以纸质盖章版为准。</w:t>
      </w:r>
    </w:p>
    <w:p w14:paraId="5105B4FC">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Chars="-200" w:right="0" w:rightChars="0"/>
        <w:textAlignment w:val="baseline"/>
        <w:rPr>
          <w:rFonts w:hint="default" w:ascii="宋体" w:hAnsi="宋体" w:eastAsia="宋体" w:cs="宋体"/>
          <w:b w:val="0"/>
          <w:bCs w:val="0"/>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 xml:space="preserve">    2.本项目不得转包。</w:t>
      </w:r>
    </w:p>
    <w:p w14:paraId="2AD7EAA8">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textAlignment w:val="baseline"/>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pPr>
      <w:r>
        <w:rPr>
          <w:rFonts w:hint="eastAsia" w:cs="宋体"/>
          <w:b w:val="0"/>
          <w:bCs w:val="0"/>
          <w:i w:val="0"/>
          <w:iCs w:val="0"/>
          <w:caps w:val="0"/>
          <w:color w:val="auto"/>
          <w:spacing w:val="0"/>
          <w:kern w:val="0"/>
          <w:sz w:val="24"/>
          <w:szCs w:val="24"/>
          <w:highlight w:val="none"/>
          <w:shd w:val="clear" w:fill="FFFFFF"/>
          <w:vertAlign w:val="baseline"/>
          <w:lang w:val="en-US" w:eastAsia="zh-CN" w:bidi="ar-SA"/>
        </w:rPr>
        <w:t>3.</w:t>
      </w:r>
      <w:r>
        <w:rPr>
          <w:rFonts w:hint="eastAsia" w:ascii="宋体" w:hAnsi="宋体" w:eastAsia="宋体" w:cs="宋体"/>
          <w:b w:val="0"/>
          <w:bCs w:val="0"/>
          <w:i w:val="0"/>
          <w:iCs w:val="0"/>
          <w:caps w:val="0"/>
          <w:color w:val="auto"/>
          <w:spacing w:val="0"/>
          <w:sz w:val="24"/>
          <w:szCs w:val="24"/>
          <w:highlight w:val="none"/>
          <w:shd w:val="clear" w:fill="FFFFFF"/>
          <w:vertAlign w:val="baseline"/>
          <w:lang w:val="en-US" w:eastAsia="zh-CN"/>
        </w:rPr>
        <w:t>本项目不接受联合体响应。</w:t>
      </w:r>
    </w:p>
    <w:p w14:paraId="68C64E84">
      <w:pPr>
        <w:pStyle w:val="18"/>
        <w:widowControl/>
        <w:numPr>
          <w:ilvl w:val="0"/>
          <w:numId w:val="2"/>
        </w:numPr>
        <w:shd w:val="clear" w:color="auto" w:fill="FFFFFF"/>
        <w:spacing w:beforeAutospacing="0" w:afterAutospacing="0" w:line="360" w:lineRule="auto"/>
        <w:ind w:firstLine="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监督部门联系方式</w:t>
      </w:r>
    </w:p>
    <w:p w14:paraId="51E87CD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联系人：曾老师</w:t>
      </w:r>
    </w:p>
    <w:p w14:paraId="4D3D852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lang w:val="en-US" w:eastAsia="zh-CN"/>
        </w:rPr>
        <w:t>联系电话：0760-88662120-1621</w:t>
      </w:r>
    </w:p>
    <w:p w14:paraId="5D419F3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0"/>
        <w:textAlignment w:val="baseline"/>
        <w:rPr>
          <w:rFonts w:hint="eastAsia" w:ascii="宋体" w:hAnsi="宋体" w:eastAsia="宋体" w:cs="宋体"/>
          <w:i w:val="0"/>
          <w:iCs w:val="0"/>
          <w:caps w:val="0"/>
          <w:color w:val="auto"/>
          <w:spacing w:val="0"/>
          <w:sz w:val="24"/>
          <w:szCs w:val="24"/>
          <w:highlight w:val="none"/>
          <w:shd w:val="clear"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fill="FFFFFF"/>
          <w:vertAlign w:val="baseline"/>
        </w:rPr>
        <w:t>地 址：</w:t>
      </w:r>
      <w:r>
        <w:rPr>
          <w:rFonts w:hint="eastAsia" w:ascii="宋体" w:hAnsi="宋体" w:eastAsia="宋体" w:cs="宋体"/>
          <w:i w:val="0"/>
          <w:iCs w:val="0"/>
          <w:caps w:val="0"/>
          <w:color w:val="auto"/>
          <w:spacing w:val="0"/>
          <w:sz w:val="24"/>
          <w:szCs w:val="24"/>
          <w:highlight w:val="none"/>
          <w:shd w:val="clear" w:fill="FFFFFF"/>
          <w:vertAlign w:val="baseline"/>
          <w:lang w:val="en-US" w:eastAsia="zh-CN"/>
        </w:rPr>
        <w:t>中山市小榄镇菊城大道中65号内科大楼九楼</w:t>
      </w:r>
    </w:p>
    <w:p w14:paraId="0C90E6D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40"/>
        <w:jc w:val="right"/>
        <w:textAlignment w:val="baseline"/>
        <w:rPr>
          <w:rFonts w:hint="eastAsia" w:ascii="宋体" w:hAnsi="宋体" w:eastAsia="宋体" w:cs="宋体"/>
          <w:i w:val="0"/>
          <w:iCs w:val="0"/>
          <w:caps w:val="0"/>
          <w:color w:val="auto"/>
          <w:spacing w:val="0"/>
          <w:sz w:val="24"/>
          <w:szCs w:val="24"/>
          <w:highlight w:val="none"/>
          <w:shd w:val="clear" w:fill="FFFFFF"/>
          <w:vertAlign w:val="baseline"/>
          <w:lang w:val="en-US" w:eastAsia="zh-CN"/>
        </w:rPr>
      </w:pPr>
    </w:p>
    <w:p w14:paraId="4360F77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kern w:val="0"/>
          <w:sz w:val="24"/>
          <w:szCs w:val="24"/>
          <w:highlight w:val="none"/>
          <w:shd w:val="clear" w:color="auto" w:fill="FFFFFF"/>
          <w:vertAlign w:val="baseline"/>
          <w:lang w:val="en-US" w:eastAsia="zh-CN" w:bidi="ar"/>
        </w:rPr>
        <w:t>中山市小榄人民医院</w:t>
      </w:r>
    </w:p>
    <w:p w14:paraId="1AE9A75F">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pP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2025年</w:t>
      </w:r>
      <w:r>
        <w:rPr>
          <w:rFonts w:hint="eastAsia" w:cs="宋体"/>
          <w:i w:val="0"/>
          <w:iCs w:val="0"/>
          <w:caps w:val="0"/>
          <w:color w:val="auto"/>
          <w:spacing w:val="0"/>
          <w:sz w:val="24"/>
          <w:szCs w:val="24"/>
          <w:highlight w:val="none"/>
          <w:shd w:val="clear" w:color="auto" w:fill="FFFFFF"/>
          <w:vertAlign w:val="baseline"/>
          <w:lang w:val="en-US" w:eastAsia="zh-CN"/>
        </w:rPr>
        <w:t>6</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月</w:t>
      </w:r>
      <w:r>
        <w:rPr>
          <w:rFonts w:hint="eastAsia" w:cs="宋体"/>
          <w:i w:val="0"/>
          <w:iCs w:val="0"/>
          <w:caps w:val="0"/>
          <w:color w:val="auto"/>
          <w:spacing w:val="0"/>
          <w:sz w:val="24"/>
          <w:szCs w:val="24"/>
          <w:highlight w:val="none"/>
          <w:shd w:val="clear" w:color="auto" w:fill="FFFFFF"/>
          <w:vertAlign w:val="baseline"/>
          <w:lang w:val="en-US" w:eastAsia="zh-CN"/>
        </w:rPr>
        <w:t>27</w:t>
      </w:r>
      <w:r>
        <w:rPr>
          <w:rFonts w:hint="eastAsia" w:ascii="宋体" w:hAnsi="宋体" w:eastAsia="宋体" w:cs="宋体"/>
          <w:i w:val="0"/>
          <w:iCs w:val="0"/>
          <w:caps w:val="0"/>
          <w:color w:val="auto"/>
          <w:spacing w:val="0"/>
          <w:sz w:val="24"/>
          <w:szCs w:val="24"/>
          <w:highlight w:val="none"/>
          <w:shd w:val="clear" w:color="auto" w:fill="FFFFFF"/>
          <w:vertAlign w:val="baseline"/>
          <w:lang w:val="en-US" w:eastAsia="zh-CN"/>
        </w:rPr>
        <w:t>日</w:t>
      </w:r>
    </w:p>
    <w:p w14:paraId="272279A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0B2EE93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77032FD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7A394D3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67776C30">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67AC6594">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23307C9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79FFD673">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72FC23E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01D4640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2E8C554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61742DB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24D6319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04C7A7C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4E7196E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433AC1E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3AF160D2">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082C432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6DC3B5AC">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395162F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1A729489">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3E95D30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750CE16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74C8840A">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607967C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084BB22B">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79750E4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1DA557F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65C44155">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59A34A5E">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3ED17467">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3E12D9D8">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494A19B1">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both"/>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554A48AD">
      <w:pPr>
        <w:pStyle w:val="2"/>
        <w:bidi w:val="0"/>
        <w:jc w:val="center"/>
        <w:rPr>
          <w:rFonts w:hint="eastAsia" w:ascii="宋体" w:hAnsi="宋体" w:eastAsia="宋体" w:cs="宋体"/>
          <w:color w:val="auto"/>
          <w:highlight w:val="none"/>
          <w:lang w:eastAsia="zh-CN"/>
        </w:rPr>
      </w:pPr>
      <w:bookmarkStart w:id="3" w:name="_Toc26272341"/>
      <w:bookmarkStart w:id="4" w:name="_Toc14672"/>
      <w:r>
        <w:rPr>
          <w:rFonts w:hint="eastAsia" w:ascii="宋体" w:hAnsi="宋体" w:eastAsia="宋体" w:cs="宋体"/>
          <w:color w:val="auto"/>
          <w:highlight w:val="none"/>
        </w:rPr>
        <w:t>第二部分　</w:t>
      </w:r>
      <w:bookmarkEnd w:id="3"/>
      <w:r>
        <w:rPr>
          <w:rFonts w:hint="eastAsia" w:ascii="宋体" w:hAnsi="宋体" w:eastAsia="宋体" w:cs="宋体"/>
          <w:color w:val="auto"/>
          <w:highlight w:val="none"/>
          <w:lang w:val="en-US" w:eastAsia="zh-CN"/>
        </w:rPr>
        <w:t>用户</w:t>
      </w:r>
      <w:r>
        <w:rPr>
          <w:rFonts w:hint="eastAsia" w:ascii="宋体" w:hAnsi="宋体" w:eastAsia="宋体" w:cs="宋体"/>
          <w:color w:val="auto"/>
          <w:highlight w:val="none"/>
          <w:lang w:eastAsia="zh-CN"/>
        </w:rPr>
        <w:t>需求书</w:t>
      </w:r>
      <w:bookmarkEnd w:id="4"/>
    </w:p>
    <w:p w14:paraId="31AA0836">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0"/>
        <w:jc w:val="right"/>
        <w:textAlignment w:val="baseline"/>
        <w:rPr>
          <w:rFonts w:hint="eastAsia" w:ascii="宋体" w:hAnsi="宋体" w:eastAsia="宋体" w:cs="宋体"/>
          <w:i w:val="0"/>
          <w:iCs w:val="0"/>
          <w:caps w:val="0"/>
          <w:color w:val="C00000"/>
          <w:spacing w:val="0"/>
          <w:sz w:val="24"/>
          <w:szCs w:val="24"/>
          <w:highlight w:val="none"/>
          <w:shd w:val="clear" w:color="auto" w:fill="FFFFFF"/>
          <w:vertAlign w:val="baseline"/>
          <w:lang w:val="en-US" w:eastAsia="zh-CN"/>
        </w:rPr>
      </w:pPr>
    </w:p>
    <w:p w14:paraId="3B940ED4">
      <w:pPr>
        <w:pStyle w:val="8"/>
        <w:ind w:left="0" w:leftChars="0" w:firstLine="0" w:firstLineChars="0"/>
        <w:rPr>
          <w:rFonts w:hint="eastAsia" w:ascii="宋体" w:hAnsi="宋体" w:eastAsia="宋体" w:cs="宋体"/>
          <w:lang w:eastAsia="zh-CN"/>
        </w:rPr>
      </w:pPr>
    </w:p>
    <w:p w14:paraId="594B4784">
      <w:pPr>
        <w:rPr>
          <w:rFonts w:hint="eastAsia" w:ascii="宋体" w:hAnsi="宋体" w:eastAsia="宋体" w:cs="宋体"/>
        </w:rPr>
      </w:pPr>
    </w:p>
    <w:p w14:paraId="038CD40F">
      <w:pPr>
        <w:pStyle w:val="7"/>
        <w:rPr>
          <w:rFonts w:hint="eastAsia" w:ascii="宋体" w:hAnsi="宋体" w:eastAsia="宋体" w:cs="宋体"/>
        </w:rPr>
      </w:pPr>
    </w:p>
    <w:p w14:paraId="3C44E33D">
      <w:pPr>
        <w:pStyle w:val="8"/>
        <w:rPr>
          <w:rFonts w:hint="eastAsia" w:ascii="宋体" w:hAnsi="宋体" w:eastAsia="宋体" w:cs="宋体"/>
        </w:rPr>
      </w:pPr>
    </w:p>
    <w:p w14:paraId="1CCEB8FD">
      <w:pPr>
        <w:rPr>
          <w:rFonts w:hint="eastAsia" w:ascii="宋体" w:hAnsi="宋体" w:eastAsia="宋体" w:cs="宋体"/>
        </w:rPr>
      </w:pPr>
    </w:p>
    <w:p w14:paraId="39FDC32E">
      <w:pPr>
        <w:pStyle w:val="7"/>
        <w:rPr>
          <w:rFonts w:hint="eastAsia" w:ascii="宋体" w:hAnsi="宋体" w:eastAsia="宋体" w:cs="宋体"/>
        </w:rPr>
      </w:pPr>
    </w:p>
    <w:p w14:paraId="3A997426">
      <w:pPr>
        <w:pStyle w:val="8"/>
        <w:rPr>
          <w:rFonts w:hint="eastAsia" w:ascii="宋体" w:hAnsi="宋体" w:eastAsia="宋体" w:cs="宋体"/>
        </w:rPr>
      </w:pPr>
    </w:p>
    <w:p w14:paraId="4500B4DE">
      <w:pPr>
        <w:rPr>
          <w:rFonts w:hint="eastAsia" w:ascii="宋体" w:hAnsi="宋体" w:eastAsia="宋体" w:cs="宋体"/>
        </w:rPr>
      </w:pPr>
    </w:p>
    <w:p w14:paraId="7910C0FC">
      <w:pPr>
        <w:pStyle w:val="7"/>
        <w:rPr>
          <w:rFonts w:hint="eastAsia" w:ascii="宋体" w:hAnsi="宋体" w:eastAsia="宋体" w:cs="宋体"/>
        </w:rPr>
      </w:pPr>
    </w:p>
    <w:p w14:paraId="19240FBC">
      <w:pPr>
        <w:pStyle w:val="8"/>
        <w:rPr>
          <w:rFonts w:hint="eastAsia" w:ascii="宋体" w:hAnsi="宋体" w:eastAsia="宋体" w:cs="宋体"/>
        </w:rPr>
      </w:pPr>
    </w:p>
    <w:p w14:paraId="61B3BD98">
      <w:pPr>
        <w:rPr>
          <w:rFonts w:hint="eastAsia" w:ascii="宋体" w:hAnsi="宋体" w:eastAsia="宋体" w:cs="宋体"/>
        </w:rPr>
      </w:pPr>
    </w:p>
    <w:p w14:paraId="1F17690B">
      <w:pPr>
        <w:pStyle w:val="7"/>
        <w:rPr>
          <w:rFonts w:hint="eastAsia" w:ascii="宋体" w:hAnsi="宋体" w:eastAsia="宋体" w:cs="宋体"/>
        </w:rPr>
      </w:pPr>
    </w:p>
    <w:p w14:paraId="56577919">
      <w:pPr>
        <w:pStyle w:val="8"/>
        <w:rPr>
          <w:rFonts w:hint="eastAsia" w:ascii="宋体" w:hAnsi="宋体" w:eastAsia="宋体" w:cs="宋体"/>
        </w:rPr>
      </w:pPr>
    </w:p>
    <w:p w14:paraId="0CA658DF">
      <w:pPr>
        <w:pStyle w:val="8"/>
        <w:ind w:left="0" w:leftChars="0" w:firstLine="0" w:firstLineChars="0"/>
        <w:rPr>
          <w:rFonts w:hint="eastAsia" w:ascii="宋体" w:hAnsi="宋体" w:eastAsia="宋体" w:cs="宋体"/>
        </w:rPr>
      </w:pPr>
    </w:p>
    <w:p w14:paraId="2CE14EF8">
      <w:pPr>
        <w:pStyle w:val="18"/>
        <w:keepNext w:val="0"/>
        <w:keepLines w:val="0"/>
        <w:pageBreakBefore w:val="0"/>
        <w:widowControl/>
        <w:kinsoku/>
        <w:wordWrap/>
        <w:overflowPunct/>
        <w:topLinePunct w:val="0"/>
        <w:bidi w:val="0"/>
        <w:spacing w:beforeAutospacing="0" w:afterAutospacing="0" w:line="360" w:lineRule="auto"/>
        <w:jc w:val="center"/>
        <w:textAlignment w:val="baseline"/>
        <w:rPr>
          <w:rFonts w:ascii="宋体" w:hAnsi="宋体" w:eastAsia="宋体" w:cs="宋体"/>
          <w:color w:val="auto"/>
          <w:kern w:val="0"/>
          <w:sz w:val="32"/>
          <w:szCs w:val="32"/>
          <w:shd w:val="clear" w:color="auto" w:fill="FFFFFF"/>
        </w:rPr>
      </w:pPr>
      <w:r>
        <w:rPr>
          <w:rFonts w:hint="eastAsia" w:ascii="宋体" w:hAnsi="宋体" w:eastAsia="宋体" w:cs="宋体"/>
          <w:b/>
          <w:bCs/>
          <w:color w:val="auto"/>
          <w:sz w:val="32"/>
          <w:szCs w:val="32"/>
          <w:shd w:val="clear" w:color="auto" w:fill="FFFFFF"/>
        </w:rPr>
        <w:t>用户需求书</w:t>
      </w:r>
    </w:p>
    <w:p w14:paraId="6B040653">
      <w:pPr>
        <w:pStyle w:val="18"/>
        <w:keepNext w:val="0"/>
        <w:keepLines w:val="0"/>
        <w:pageBreakBefore w:val="0"/>
        <w:widowControl/>
        <w:kinsoku/>
        <w:wordWrap/>
        <w:overflowPunct/>
        <w:topLinePunct w:val="0"/>
        <w:bidi w:val="0"/>
        <w:spacing w:beforeAutospacing="0" w:afterAutospacing="0" w:line="360" w:lineRule="auto"/>
        <w:ind w:firstLine="562" w:firstLineChars="200"/>
        <w:jc w:val="both"/>
        <w:textAlignment w:val="baseline"/>
        <w:rPr>
          <w:rFonts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rPr>
        <w:t>一、项目概况</w:t>
      </w:r>
    </w:p>
    <w:p w14:paraId="17CC8313">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1.项目名称：中山市小榄人民医院食堂经营遴选项目</w:t>
      </w:r>
    </w:p>
    <w:p w14:paraId="424634BD">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default" w:ascii="宋体" w:hAnsi="宋体" w:eastAsia="宋体" w:cs="宋体"/>
          <w:i w:val="0"/>
          <w:iCs w:val="0"/>
          <w:caps w:val="0"/>
          <w:color w:val="auto"/>
          <w:spacing w:val="0"/>
          <w:kern w:val="0"/>
          <w:sz w:val="24"/>
          <w:szCs w:val="24"/>
          <w:shd w:val="clear" w:color="auto" w:fill="FFFFFF"/>
          <w:lang w:val="en-US" w:eastAsia="zh-CN" w:bidi="ar"/>
        </w:rPr>
        <w:t>2</w:t>
      </w:r>
      <w:r>
        <w:rPr>
          <w:rFonts w:hint="eastAsia" w:ascii="宋体" w:hAnsi="宋体" w:eastAsia="宋体" w:cs="宋体"/>
          <w:i w:val="0"/>
          <w:iCs w:val="0"/>
          <w:caps w:val="0"/>
          <w:color w:val="auto"/>
          <w:spacing w:val="0"/>
          <w:kern w:val="0"/>
          <w:sz w:val="24"/>
          <w:szCs w:val="24"/>
          <w:shd w:val="clear" w:color="auto" w:fill="FFFFFF"/>
          <w:lang w:val="en-US" w:eastAsia="zh-CN" w:bidi="ar"/>
        </w:rPr>
        <w:t>.项目编号：XLYY20250356</w:t>
      </w:r>
    </w:p>
    <w:p w14:paraId="74E67EE5">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3.资金来源：由食堂经营服务商自负盈亏。</w:t>
      </w:r>
    </w:p>
    <w:p w14:paraId="4502BFE9">
      <w:pPr>
        <w:pStyle w:val="31"/>
        <w:spacing w:line="360" w:lineRule="auto"/>
        <w:ind w:firstLine="480" w:firstLineChars="200"/>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4.本项目业主方不支付任何费用。</w:t>
      </w:r>
    </w:p>
    <w:p w14:paraId="1CA83842">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5.自服务合同生效之日起</w:t>
      </w:r>
      <w:r>
        <w:rPr>
          <w:rFonts w:hint="eastAsia" w:ascii="宋体" w:hAnsi="宋体" w:eastAsia="宋体" w:cs="宋体"/>
          <w:i w:val="0"/>
          <w:iCs w:val="0"/>
          <w:caps w:val="0"/>
          <w:color w:val="auto"/>
          <w:spacing w:val="0"/>
          <w:kern w:val="0"/>
          <w:sz w:val="24"/>
          <w:szCs w:val="24"/>
          <w:u w:val="single"/>
          <w:shd w:val="clear" w:color="auto" w:fill="FFFFFF"/>
          <w:lang w:val="en-US" w:eastAsia="zh-CN" w:bidi="ar"/>
        </w:rPr>
        <w:t xml:space="preserve"> </w:t>
      </w:r>
      <w:r>
        <w:rPr>
          <w:rFonts w:hint="eastAsia" w:ascii="宋体" w:hAnsi="宋体" w:cs="宋体"/>
          <w:i w:val="0"/>
          <w:iCs w:val="0"/>
          <w:caps w:val="0"/>
          <w:color w:val="auto"/>
          <w:spacing w:val="0"/>
          <w:kern w:val="0"/>
          <w:sz w:val="24"/>
          <w:szCs w:val="24"/>
          <w:u w:val="single"/>
          <w:shd w:val="clear" w:color="auto" w:fill="FFFFFF"/>
          <w:lang w:val="en-US" w:eastAsia="zh-CN" w:bidi="ar"/>
        </w:rPr>
        <w:t>三</w:t>
      </w:r>
      <w:r>
        <w:rPr>
          <w:rFonts w:hint="eastAsia" w:ascii="宋体" w:hAnsi="宋体" w:eastAsia="宋体" w:cs="宋体"/>
          <w:i w:val="0"/>
          <w:iCs w:val="0"/>
          <w:caps w:val="0"/>
          <w:color w:val="auto"/>
          <w:spacing w:val="0"/>
          <w:kern w:val="0"/>
          <w:sz w:val="24"/>
          <w:szCs w:val="24"/>
          <w:u w:val="single"/>
          <w:shd w:val="clear" w:color="auto" w:fill="FFFFFF"/>
          <w:lang w:val="en-US" w:eastAsia="zh-CN" w:bidi="ar"/>
        </w:rPr>
        <w:t xml:space="preserve"> </w:t>
      </w:r>
      <w:r>
        <w:rPr>
          <w:rFonts w:hint="eastAsia" w:ascii="宋体" w:hAnsi="宋体" w:eastAsia="宋体" w:cs="宋体"/>
          <w:i w:val="0"/>
          <w:iCs w:val="0"/>
          <w:caps w:val="0"/>
          <w:color w:val="auto"/>
          <w:spacing w:val="0"/>
          <w:kern w:val="0"/>
          <w:sz w:val="24"/>
          <w:szCs w:val="24"/>
          <w:shd w:val="clear" w:color="auto" w:fill="FFFFFF"/>
          <w:lang w:val="en-US" w:eastAsia="zh-CN" w:bidi="ar"/>
        </w:rPr>
        <w:t>年。</w:t>
      </w:r>
    </w:p>
    <w:p w14:paraId="55A07F22">
      <w:pPr>
        <w:pStyle w:val="31"/>
        <w:spacing w:line="360" w:lineRule="auto"/>
        <w:ind w:firstLine="480" w:firstLineChars="200"/>
        <w:rPr>
          <w:rFonts w:hint="eastAsia" w:ascii="宋体" w:hAnsi="宋体" w:cs="宋体"/>
          <w:i w:val="0"/>
          <w:iCs w:val="0"/>
          <w:caps w:val="0"/>
          <w:color w:val="auto"/>
          <w:spacing w:val="0"/>
          <w:kern w:val="0"/>
          <w:sz w:val="24"/>
          <w:szCs w:val="24"/>
          <w:shd w:val="clear" w:color="auto" w:fill="FFFFFF"/>
          <w:lang w:val="en-US" w:eastAsia="zh-CN" w:bidi="ar"/>
        </w:rPr>
      </w:pPr>
      <w:r>
        <w:rPr>
          <w:rFonts w:hint="eastAsia" w:ascii="宋体" w:hAnsi="宋体" w:cs="宋体"/>
          <w:i w:val="0"/>
          <w:iCs w:val="0"/>
          <w:caps w:val="0"/>
          <w:color w:val="auto"/>
          <w:spacing w:val="0"/>
          <w:kern w:val="0"/>
          <w:sz w:val="24"/>
          <w:szCs w:val="24"/>
          <w:shd w:val="clear" w:color="auto" w:fill="FFFFFF"/>
          <w:lang w:val="en-US" w:eastAsia="zh-CN" w:bidi="ar"/>
        </w:rPr>
        <w:t>6.本项目不得转包。</w:t>
      </w:r>
    </w:p>
    <w:p w14:paraId="2FEF1122">
      <w:pPr>
        <w:pStyle w:val="31"/>
        <w:spacing w:line="360" w:lineRule="auto"/>
        <w:ind w:firstLine="480" w:firstLineChars="200"/>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cs="宋体"/>
          <w:i w:val="0"/>
          <w:iCs w:val="0"/>
          <w:caps w:val="0"/>
          <w:color w:val="auto"/>
          <w:spacing w:val="0"/>
          <w:kern w:val="0"/>
          <w:sz w:val="24"/>
          <w:szCs w:val="24"/>
          <w:shd w:val="clear" w:color="auto" w:fill="FFFFFF"/>
          <w:lang w:val="en-US" w:eastAsia="zh-CN" w:bidi="ar"/>
        </w:rPr>
        <w:t>7.本项目接受联合体响应。</w:t>
      </w:r>
    </w:p>
    <w:p w14:paraId="5CF3CF9E">
      <w:pPr>
        <w:pStyle w:val="18"/>
        <w:keepNext w:val="0"/>
        <w:keepLines w:val="0"/>
        <w:pageBreakBefore w:val="0"/>
        <w:widowControl/>
        <w:kinsoku/>
        <w:wordWrap/>
        <w:overflowPunct/>
        <w:topLinePunct w:val="0"/>
        <w:bidi w:val="0"/>
        <w:spacing w:beforeAutospacing="0" w:afterAutospacing="0" w:line="360" w:lineRule="auto"/>
        <w:ind w:firstLine="562" w:firstLineChars="200"/>
        <w:jc w:val="both"/>
        <w:textAlignment w:val="baseline"/>
        <w:rPr>
          <w:rFonts w:hint="eastAsia" w:ascii="宋体" w:hAnsi="宋体" w:eastAsia="宋体" w:cs="宋体"/>
          <w:b/>
          <w:bCs/>
          <w:color w:val="auto"/>
          <w:sz w:val="28"/>
          <w:szCs w:val="28"/>
          <w:shd w:val="clear" w:color="auto" w:fill="FFFFFF"/>
          <w:lang w:val="en-US" w:eastAsia="zh-CN"/>
        </w:rPr>
      </w:pPr>
      <w:r>
        <w:rPr>
          <w:rFonts w:hint="eastAsia" w:ascii="宋体" w:hAnsi="宋体" w:eastAsia="宋体" w:cs="宋体"/>
          <w:b/>
          <w:bCs/>
          <w:color w:val="auto"/>
          <w:sz w:val="28"/>
          <w:szCs w:val="28"/>
          <w:shd w:val="clear" w:color="auto" w:fill="FFFFFF"/>
          <w:lang w:val="en-US" w:eastAsia="zh-CN"/>
        </w:rPr>
        <w:t>二、总 则</w:t>
      </w:r>
    </w:p>
    <w:p w14:paraId="0DECE490">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1、项目内容：中山市小榄人民医院食堂经营项目，服务商必须按国家、行业的标准及遴选文件的要求对项目提供相关服务。</w:t>
      </w:r>
    </w:p>
    <w:p w14:paraId="351DD8CF">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2、服务年限：自合同签订日起叁年。</w:t>
      </w:r>
    </w:p>
    <w:p w14:paraId="08D0C6F8">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用户需求书》中，凡带“★”的条款为该项目的重要技术服务要求，必须完全满足，如有负偏离的遴选文件将被认定为无效投标；凡带“▲”标识的内容为评标的重要参数依据，响应服务商应对该标识项目按照要求进行真实应答描述，但不作为废标的实质性条款。</w:t>
      </w:r>
    </w:p>
    <w:p w14:paraId="539DD529">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4、项目采用全包干的方式承包，由中选服务商负责遴选文件对中选服务商要求的一切事宜责任，自负盈亏，业主方不支付任何费用或补贴给中选服务商。中选服务商及其工作人员所产生的一切费用及责任由中选服务商负责，与业主方无关。</w:t>
      </w:r>
    </w:p>
    <w:p w14:paraId="39AC0554">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5、响应服务商在响应遴选方案中对这部分内容应尽量列出具体参数或作出详细应答。如果响应服务商只简单注明“符合”或“满足”，将影响其技术商务得分。</w:t>
      </w:r>
    </w:p>
    <w:p w14:paraId="4E17E395">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6、中选服务商不得以任何方式转包或分包，否则业主方有权扣除履约保证金并自动终止合同。</w:t>
      </w:r>
    </w:p>
    <w:p w14:paraId="48D6D390">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7、本项目不接受联合体投标。</w:t>
      </w:r>
    </w:p>
    <w:p w14:paraId="6A8AC724">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8、本项目不设统一现场踏勘时间，响应服务商如需进行现场踏勘，可直接与业主方联系。响应服务商因对项目不了解而导致方案不合理或不完整的，业主方将不负任何责任。业主方不接受因响应服务商缺乏对项目情况的了解或掌握而提出的任何异议或索赔。</w:t>
      </w:r>
    </w:p>
    <w:p w14:paraId="15F22347">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9、响应服务商资质要求：</w:t>
      </w:r>
    </w:p>
    <w:p w14:paraId="4B69A725">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9.1具有独立承担民事责任的能力：提供在中华人民共和国境内注册的法人或其他组织的营业执照或事业单位法人证书或社会团体法人登记证书扫描件及食品药品经营许可证扫描件；如国家另有规定的，则从其规定。且营业范围包括餐饮管理或饮食管理或食品经营管理。</w:t>
      </w:r>
    </w:p>
    <w:p w14:paraId="12915958">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9.2有依法缴纳税收和社会保障资金的良好记录：报名截止日前6个月内任意1个月依法缴纳税收和社会保障资金的相关材料。如依法免税或不需要缴纳社会保障资金的，提供相应证明材料。</w:t>
      </w:r>
    </w:p>
    <w:p w14:paraId="5AF1F80C">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9.3具有良好的商业信誉和健全的财务会计制度：提供2024年度财务状况报告扫描件或报名截止日前6个月内任意1个月的财务报表扫描件或基本开户行出具的资信证明扫描件。</w:t>
      </w:r>
    </w:p>
    <w:p w14:paraId="0F1363D9">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9.4履行合同所必需的设备和专业技术能力：提供“具有履行合同所必需的设备和专业技术能力”的声明或承诺，或提供“具有设备和专业技术能力（人员）”的相关证明资料，或提供《设备和专业技术能力（人员）情况表》（格式自拟）。</w:t>
      </w:r>
    </w:p>
    <w:p w14:paraId="46E710F6">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9.5参加本次遴选活动前三年内，在经营活动中没有重大违法记录，提供承诺函。重大违法记录，是指供应商因违法经营受到刑事处罚或者责令停产停业、吊销许可证或者执照、较大数额罚款等行政处罚。若投标人同时提供承诺函和证明材料的，资格审查时以证明材料为准。（根据财库〔2022〕3号文，“较大数额罚款”认定为200万元以上的罚款，法律、行政法规以及国务院有关部门明确规定相关领域“较大数额罚款”标准高于200万元的，从其规定）。</w:t>
      </w:r>
    </w:p>
    <w:p w14:paraId="69A07D54">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9.6参选公司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p w14:paraId="79F855E4">
      <w:pPr>
        <w:pStyle w:val="31"/>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9.7单位负责人为同一人或者存在直接控股、管理关系的不同参选公司，不得同时参加本项目。参选公司提供承诺函。</w:t>
      </w:r>
    </w:p>
    <w:p w14:paraId="07123D6C">
      <w:pPr>
        <w:pStyle w:val="31"/>
        <w:spacing w:line="360" w:lineRule="auto"/>
        <w:ind w:firstLine="482" w:firstLineChars="200"/>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三、项目基本要求</w:t>
      </w:r>
    </w:p>
    <w:p w14:paraId="669C3538">
      <w:pPr>
        <w:pStyle w:val="18"/>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360" w:lineRule="auto"/>
        <w:ind w:left="0" w:leftChars="0" w:firstLine="482" w:firstLineChars="200"/>
        <w:jc w:val="both"/>
        <w:textAlignment w:val="baseline"/>
        <w:rPr>
          <w:rFonts w:hint="eastAsia" w:ascii="宋体" w:hAnsi="宋体" w:eastAsia="宋体" w:cs="宋体"/>
          <w:b/>
          <w:color w:val="auto"/>
          <w:sz w:val="24"/>
          <w:szCs w:val="24"/>
          <w:shd w:val="clear" w:color="auto" w:fill="FFFFFF"/>
        </w:rPr>
      </w:pPr>
      <w:r>
        <w:rPr>
          <w:rFonts w:hint="eastAsia" w:ascii="宋体" w:hAnsi="宋体" w:eastAsia="宋体" w:cs="宋体"/>
          <w:b/>
          <w:color w:val="auto"/>
          <w:sz w:val="24"/>
          <w:szCs w:val="24"/>
          <w:shd w:val="clear" w:color="auto" w:fill="FFFFFF"/>
        </w:rPr>
        <w:t>服务范围：</w:t>
      </w:r>
    </w:p>
    <w:p w14:paraId="478935CA">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 项目名称：中山市小榄人民医院食堂经营项目</w:t>
      </w:r>
    </w:p>
    <w:p w14:paraId="033A3C62">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 项目清单：</w:t>
      </w:r>
    </w:p>
    <w:tbl>
      <w:tblPr>
        <w:tblStyle w:val="21"/>
        <w:tblW w:w="96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69"/>
        <w:gridCol w:w="1500"/>
        <w:gridCol w:w="1909"/>
        <w:gridCol w:w="2509"/>
        <w:gridCol w:w="1198"/>
      </w:tblGrid>
      <w:tr w14:paraId="72DA3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736" w:type="dxa"/>
            <w:vAlign w:val="center"/>
          </w:tcPr>
          <w:p w14:paraId="3565B75E">
            <w:pPr>
              <w:jc w:val="center"/>
              <w:rPr>
                <w:rFonts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769" w:type="dxa"/>
            <w:vAlign w:val="center"/>
          </w:tcPr>
          <w:p w14:paraId="77446495">
            <w:pPr>
              <w:jc w:val="center"/>
              <w:rPr>
                <w:rFonts w:ascii="宋体" w:hAnsi="宋体" w:cs="宋体"/>
                <w:b/>
                <w:color w:val="auto"/>
                <w:sz w:val="22"/>
                <w:szCs w:val="22"/>
                <w:highlight w:val="none"/>
              </w:rPr>
            </w:pPr>
            <w:r>
              <w:rPr>
                <w:rFonts w:hint="eastAsia" w:ascii="宋体" w:hAnsi="宋体" w:cs="宋体"/>
                <w:b/>
                <w:color w:val="auto"/>
                <w:sz w:val="22"/>
                <w:szCs w:val="22"/>
                <w:highlight w:val="none"/>
                <w:lang w:eastAsia="zh-CN"/>
              </w:rPr>
              <w:t>业主方</w:t>
            </w:r>
          </w:p>
        </w:tc>
        <w:tc>
          <w:tcPr>
            <w:tcW w:w="1500" w:type="dxa"/>
            <w:vAlign w:val="center"/>
          </w:tcPr>
          <w:p w14:paraId="0264E54B">
            <w:pPr>
              <w:jc w:val="center"/>
              <w:rPr>
                <w:rFonts w:ascii="宋体" w:hAnsi="宋体" w:cs="宋体"/>
                <w:b/>
                <w:color w:val="auto"/>
                <w:sz w:val="22"/>
                <w:szCs w:val="22"/>
                <w:highlight w:val="none"/>
              </w:rPr>
            </w:pPr>
            <w:r>
              <w:rPr>
                <w:rFonts w:hint="eastAsia" w:ascii="宋体" w:hAnsi="宋体" w:cs="宋体"/>
                <w:b/>
                <w:color w:val="auto"/>
                <w:sz w:val="22"/>
                <w:szCs w:val="22"/>
                <w:highlight w:val="none"/>
                <w:lang w:val="en-US" w:eastAsia="zh-CN"/>
              </w:rPr>
              <w:t>遴选</w:t>
            </w:r>
            <w:r>
              <w:rPr>
                <w:rFonts w:hint="eastAsia" w:ascii="宋体" w:hAnsi="宋体" w:cs="宋体"/>
                <w:b/>
                <w:color w:val="auto"/>
                <w:sz w:val="22"/>
                <w:szCs w:val="22"/>
                <w:highlight w:val="none"/>
              </w:rPr>
              <w:t>内容</w:t>
            </w:r>
          </w:p>
        </w:tc>
        <w:tc>
          <w:tcPr>
            <w:tcW w:w="1909" w:type="dxa"/>
            <w:vAlign w:val="center"/>
          </w:tcPr>
          <w:p w14:paraId="26436795">
            <w:pPr>
              <w:jc w:val="center"/>
              <w:rPr>
                <w:rFonts w:hint="default" w:ascii="宋体" w:hAnsi="宋体" w:eastAsia="宋体" w:cs="宋体"/>
                <w:b/>
                <w:color w:val="auto"/>
                <w:sz w:val="22"/>
                <w:szCs w:val="22"/>
                <w:highlight w:val="none"/>
                <w:lang w:val="en-US" w:eastAsia="zh-CN"/>
              </w:rPr>
            </w:pPr>
            <w:r>
              <w:rPr>
                <w:rFonts w:hint="eastAsia" w:ascii="宋体" w:hAnsi="宋体" w:cs="宋体"/>
                <w:b/>
                <w:color w:val="auto"/>
                <w:sz w:val="22"/>
                <w:szCs w:val="22"/>
                <w:highlight w:val="none"/>
                <w:lang w:val="en-US" w:eastAsia="zh-CN"/>
              </w:rPr>
              <w:t>开展形式</w:t>
            </w:r>
          </w:p>
        </w:tc>
        <w:tc>
          <w:tcPr>
            <w:tcW w:w="2509" w:type="dxa"/>
            <w:vAlign w:val="center"/>
          </w:tcPr>
          <w:p w14:paraId="3BA706C1">
            <w:pPr>
              <w:jc w:val="center"/>
              <w:rPr>
                <w:rFonts w:ascii="宋体" w:hAnsi="宋体"/>
                <w:b/>
                <w:color w:val="auto"/>
                <w:sz w:val="22"/>
                <w:szCs w:val="22"/>
                <w:highlight w:val="none"/>
              </w:rPr>
            </w:pPr>
            <w:r>
              <w:rPr>
                <w:rFonts w:hint="eastAsia" w:ascii="宋体" w:hAnsi="宋体"/>
                <w:b/>
                <w:color w:val="auto"/>
                <w:sz w:val="22"/>
                <w:szCs w:val="22"/>
                <w:highlight w:val="none"/>
              </w:rPr>
              <w:t>技术参数要求</w:t>
            </w:r>
          </w:p>
        </w:tc>
        <w:tc>
          <w:tcPr>
            <w:tcW w:w="1198" w:type="dxa"/>
            <w:vAlign w:val="center"/>
          </w:tcPr>
          <w:p w14:paraId="602DE5D8">
            <w:pPr>
              <w:jc w:val="center"/>
              <w:rPr>
                <w:rFonts w:ascii="宋体" w:hAnsi="宋体" w:cs="宋体"/>
                <w:b/>
                <w:color w:val="auto"/>
                <w:sz w:val="22"/>
                <w:szCs w:val="22"/>
                <w:highlight w:val="none"/>
              </w:rPr>
            </w:pPr>
            <w:r>
              <w:rPr>
                <w:rFonts w:hint="eastAsia" w:ascii="宋体" w:hAnsi="宋体" w:cs="宋体"/>
                <w:b/>
                <w:color w:val="auto"/>
                <w:sz w:val="22"/>
                <w:szCs w:val="22"/>
                <w:highlight w:val="none"/>
              </w:rPr>
              <w:t>服务年限</w:t>
            </w:r>
          </w:p>
        </w:tc>
      </w:tr>
      <w:tr w14:paraId="730C2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36" w:type="dxa"/>
            <w:vAlign w:val="center"/>
          </w:tcPr>
          <w:p w14:paraId="5FECC5A1">
            <w:pPr>
              <w:spacing w:line="360" w:lineRule="auto"/>
              <w:jc w:val="center"/>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w:t>
            </w:r>
          </w:p>
        </w:tc>
        <w:tc>
          <w:tcPr>
            <w:tcW w:w="1769" w:type="dxa"/>
            <w:vAlign w:val="center"/>
          </w:tcPr>
          <w:p w14:paraId="781C499E">
            <w:pPr>
              <w:spacing w:line="360" w:lineRule="auto"/>
              <w:jc w:val="center"/>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中山市小榄人民医院</w:t>
            </w:r>
          </w:p>
        </w:tc>
        <w:tc>
          <w:tcPr>
            <w:tcW w:w="1500" w:type="dxa"/>
            <w:vAlign w:val="center"/>
          </w:tcPr>
          <w:p w14:paraId="4977B90E">
            <w:pPr>
              <w:spacing w:line="360" w:lineRule="auto"/>
              <w:jc w:val="center"/>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食堂经营</w:t>
            </w:r>
          </w:p>
        </w:tc>
        <w:tc>
          <w:tcPr>
            <w:tcW w:w="1909" w:type="dxa"/>
            <w:vAlign w:val="center"/>
          </w:tcPr>
          <w:p w14:paraId="361F5FD1">
            <w:pPr>
              <w:spacing w:line="360" w:lineRule="auto"/>
              <w:jc w:val="center"/>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菜品价格下浮</w:t>
            </w:r>
          </w:p>
        </w:tc>
        <w:tc>
          <w:tcPr>
            <w:tcW w:w="2509" w:type="dxa"/>
            <w:vAlign w:val="center"/>
          </w:tcPr>
          <w:p w14:paraId="343D40E4">
            <w:pPr>
              <w:spacing w:line="360" w:lineRule="auto"/>
              <w:jc w:val="center"/>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详见“用户需求书”</w:t>
            </w:r>
          </w:p>
        </w:tc>
        <w:tc>
          <w:tcPr>
            <w:tcW w:w="1198" w:type="dxa"/>
            <w:vAlign w:val="center"/>
          </w:tcPr>
          <w:p w14:paraId="55EB5CCC">
            <w:pPr>
              <w:spacing w:line="360" w:lineRule="auto"/>
              <w:jc w:val="center"/>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三年</w:t>
            </w:r>
          </w:p>
        </w:tc>
      </w:tr>
    </w:tbl>
    <w:p w14:paraId="30AADBD8">
      <w:pPr>
        <w:spacing w:line="360" w:lineRule="auto"/>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3、场地范围：</w:t>
      </w:r>
    </w:p>
    <w:p w14:paraId="696125F8">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小榄人民医院餐饮楼一楼餐饮操作间及患者、家属就餐区建筑面积约为1290㎡（附图一）、二楼职工就餐区使用面积约为1000㎡及二楼3间小房、1间洗消间，其中营养科办公室及营养配餐间除外（详见“附图二”红色区域）。</w:t>
      </w:r>
    </w:p>
    <w:p w14:paraId="025CEC51">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★4、服务期限：</w:t>
      </w:r>
    </w:p>
    <w:p w14:paraId="1441813D">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即自合同签订日起叁年。服务期限采取1+1+1的方式。即先签订一年合同，如业主方对中选服务商的服务满意且考核合格（考核方案见附件一），在第一年合同期满后，经业主方考核合格后并同意后，则双方续签下一年度合同。如业主方对中选服务商所提供的服务不满意（即连续两个月考核结果低于80分的），业主方有权单方终止合同，不再续签。</w:t>
      </w:r>
    </w:p>
    <w:p w14:paraId="09242043">
      <w:pPr>
        <w:spacing w:line="360" w:lineRule="auto"/>
        <w:ind w:firstLine="442" w:firstLineChars="200"/>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 xml:space="preserve">5、 </w:t>
      </w:r>
      <w:r>
        <w:rPr>
          <w:rFonts w:hint="eastAsia" w:ascii="宋体" w:hAnsi="宋体" w:eastAsia="宋体" w:cs="宋体"/>
          <w:b/>
          <w:color w:val="auto"/>
          <w:sz w:val="22"/>
          <w:szCs w:val="22"/>
          <w:highlight w:val="none"/>
          <w:lang w:val="en-US" w:eastAsia="zh-CN"/>
        </w:rPr>
        <w:t>经营</w:t>
      </w:r>
      <w:r>
        <w:rPr>
          <w:rFonts w:hint="eastAsia" w:ascii="宋体" w:hAnsi="宋体" w:eastAsia="宋体" w:cs="宋体"/>
          <w:b/>
          <w:color w:val="auto"/>
          <w:sz w:val="22"/>
          <w:szCs w:val="22"/>
          <w:highlight w:val="none"/>
        </w:rPr>
        <w:t>模式：</w:t>
      </w:r>
    </w:p>
    <w:p w14:paraId="22F39E11">
      <w:pPr>
        <w:spacing w:line="360" w:lineRule="auto"/>
        <w:ind w:firstLine="240" w:firstLineChars="100"/>
        <w:rPr>
          <w:rFonts w:hint="eastAsia" w:ascii="宋体" w:hAnsi="宋体" w:eastAsia="宋体" w:cs="宋体"/>
          <w:color w:val="auto"/>
          <w:sz w:val="22"/>
          <w:szCs w:val="22"/>
          <w:highlight w:val="none"/>
        </w:rPr>
      </w:pPr>
      <w:r>
        <w:rPr>
          <w:rFonts w:hint="eastAsia" w:ascii="宋体" w:hAnsi="宋体" w:eastAsia="宋体" w:cs="宋体"/>
          <w:i w:val="0"/>
          <w:iCs w:val="0"/>
          <w:caps w:val="0"/>
          <w:color w:val="auto"/>
          <w:spacing w:val="0"/>
          <w:kern w:val="0"/>
          <w:sz w:val="24"/>
          <w:szCs w:val="24"/>
          <w:shd w:val="clear" w:color="auto" w:fill="FFFFFF"/>
          <w:lang w:val="en-US" w:eastAsia="zh-CN" w:bidi="ar"/>
        </w:rPr>
        <w:t>★（1）由业主方向中选服务商提供经营场地，中选服务商应在每月5日前向业主方缴交生活垃圾处理费</w:t>
      </w:r>
      <w:r>
        <w:rPr>
          <w:rFonts w:hint="eastAsia" w:ascii="宋体" w:hAnsi="宋体" w:eastAsia="宋体" w:cs="宋体"/>
          <w:b/>
          <w:bCs/>
          <w:i w:val="0"/>
          <w:iCs w:val="0"/>
          <w:caps w:val="0"/>
          <w:color w:val="auto"/>
          <w:spacing w:val="0"/>
          <w:kern w:val="0"/>
          <w:sz w:val="24"/>
          <w:szCs w:val="24"/>
          <w:shd w:val="clear" w:color="auto" w:fill="FFFFFF"/>
          <w:lang w:val="zh-CN" w:eastAsia="zh-CN" w:bidi="ar"/>
        </w:rPr>
        <w:t>¥300元/月及上一个月的水、电费（</w:t>
      </w:r>
      <w:r>
        <w:rPr>
          <w:rFonts w:hint="eastAsia" w:ascii="宋体" w:hAnsi="宋体" w:eastAsia="宋体" w:cs="宋体"/>
          <w:b/>
          <w:bCs/>
          <w:i w:val="0"/>
          <w:iCs w:val="0"/>
          <w:caps w:val="0"/>
          <w:color w:val="auto"/>
          <w:spacing w:val="0"/>
          <w:kern w:val="0"/>
          <w:sz w:val="24"/>
          <w:szCs w:val="24"/>
          <w:shd w:val="clear" w:color="auto" w:fill="FFFFFF"/>
          <w:lang w:val="en-US" w:eastAsia="zh-CN" w:bidi="ar"/>
        </w:rPr>
        <w:t>按实结算</w:t>
      </w:r>
      <w:r>
        <w:rPr>
          <w:rFonts w:hint="eastAsia" w:ascii="宋体" w:hAnsi="宋体" w:eastAsia="宋体" w:cs="宋体"/>
          <w:b/>
          <w:bCs/>
          <w:i w:val="0"/>
          <w:iCs w:val="0"/>
          <w:caps w:val="0"/>
          <w:color w:val="auto"/>
          <w:spacing w:val="0"/>
          <w:kern w:val="0"/>
          <w:sz w:val="24"/>
          <w:szCs w:val="24"/>
          <w:shd w:val="clear" w:color="auto" w:fill="FFFFFF"/>
          <w:lang w:val="zh-CN" w:eastAsia="zh-CN" w:bidi="ar"/>
        </w:rPr>
        <w:t>）</w:t>
      </w:r>
      <w:r>
        <w:rPr>
          <w:rFonts w:hint="eastAsia" w:ascii="宋体" w:hAnsi="宋体" w:eastAsia="宋体" w:cs="宋体"/>
          <w:b/>
          <w:bCs/>
          <w:i w:val="0"/>
          <w:iCs w:val="0"/>
          <w:caps w:val="0"/>
          <w:color w:val="auto"/>
          <w:spacing w:val="0"/>
          <w:kern w:val="0"/>
          <w:sz w:val="24"/>
          <w:szCs w:val="24"/>
          <w:shd w:val="clear" w:color="auto" w:fill="FFFFFF"/>
          <w:lang w:val="en-US" w:eastAsia="zh-CN" w:bidi="ar"/>
        </w:rPr>
        <w:t>等</w:t>
      </w:r>
      <w:r>
        <w:rPr>
          <w:rFonts w:hint="eastAsia" w:ascii="宋体" w:hAnsi="宋体" w:eastAsia="宋体" w:cs="宋体"/>
          <w:b/>
          <w:bCs/>
          <w:i w:val="0"/>
          <w:iCs w:val="0"/>
          <w:caps w:val="0"/>
          <w:color w:val="auto"/>
          <w:spacing w:val="0"/>
          <w:kern w:val="0"/>
          <w:sz w:val="24"/>
          <w:szCs w:val="24"/>
          <w:shd w:val="clear" w:color="auto" w:fill="FFFFFF"/>
          <w:lang w:val="zh-CN" w:eastAsia="zh-CN" w:bidi="ar"/>
        </w:rPr>
        <w:t>，天然气费</w:t>
      </w:r>
      <w:r>
        <w:rPr>
          <w:rFonts w:hint="eastAsia" w:ascii="宋体" w:hAnsi="宋体" w:eastAsia="宋体" w:cs="宋体"/>
          <w:b/>
          <w:bCs/>
          <w:i w:val="0"/>
          <w:iCs w:val="0"/>
          <w:caps w:val="0"/>
          <w:color w:val="auto"/>
          <w:spacing w:val="0"/>
          <w:kern w:val="0"/>
          <w:sz w:val="24"/>
          <w:szCs w:val="24"/>
          <w:shd w:val="clear" w:color="auto" w:fill="FFFFFF"/>
          <w:lang w:val="en-US" w:eastAsia="zh-CN" w:bidi="ar"/>
        </w:rPr>
        <w:t>由中选服务商自行支付至供气公司，厨余垃圾由中选服务商自行与具有收运资质的第三方公司签订收运合同，</w:t>
      </w:r>
      <w:r>
        <w:rPr>
          <w:rFonts w:hint="eastAsia" w:ascii="宋体" w:hAnsi="宋体" w:eastAsia="宋体" w:cs="宋体"/>
          <w:i w:val="0"/>
          <w:iCs w:val="0"/>
          <w:caps w:val="0"/>
          <w:color w:val="auto"/>
          <w:spacing w:val="0"/>
          <w:kern w:val="0"/>
          <w:sz w:val="24"/>
          <w:szCs w:val="24"/>
          <w:shd w:val="clear" w:color="auto" w:fill="FFFFFF"/>
          <w:lang w:val="zh-CN" w:eastAsia="zh-CN" w:bidi="ar"/>
        </w:rPr>
        <w:t>中选服务商负责自主经营、自主管理、独立核算。</w:t>
      </w:r>
    </w:p>
    <w:p w14:paraId="6C8C7191">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中选服务商应每天（全年不间断）为医院员工（含进修生、实习生、后勤服务公司员工及其他工作人员的工作人员）、患者及家属提供早餐、中餐、晚餐、宵夜及以成本价提供医院体检餐、公务餐、会议餐、职工包餐、会议盒饭、业主方需要的各类临时性用餐和应急配餐服务。</w:t>
      </w:r>
    </w:p>
    <w:p w14:paraId="7406C0F9">
      <w:pPr>
        <w:spacing w:line="360" w:lineRule="auto"/>
        <w:ind w:firstLine="240" w:firstLineChars="100"/>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（3）采用堂食和配送餐服务相结合的模式。中选服务商须有完善的线上订餐系统（含订餐自取），</w:t>
      </w:r>
      <w:r>
        <w:rPr>
          <w:rFonts w:hint="eastAsia" w:ascii="宋体" w:hAnsi="宋体" w:eastAsia="宋体" w:cs="宋体"/>
          <w:b/>
          <w:bCs/>
          <w:i w:val="0"/>
          <w:iCs w:val="0"/>
          <w:caps w:val="0"/>
          <w:color w:val="auto"/>
          <w:spacing w:val="0"/>
          <w:kern w:val="0"/>
          <w:sz w:val="24"/>
          <w:szCs w:val="24"/>
          <w:shd w:val="clear" w:color="auto" w:fill="FFFFFF"/>
          <w:lang w:val="en-US" w:eastAsia="zh-CN" w:bidi="ar"/>
        </w:rPr>
        <w:t>外卖订餐时间为24小时开放，可自选送达时间，配备足够的送餐服务人员。</w:t>
      </w:r>
    </w:p>
    <w:p w14:paraId="2E411F0E">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4）供餐时间：一楼的供餐时间以满足患者及家属的需求为准，一般供餐时间为6:30至22:30（含宵夜供应）。二楼医院员工就餐区的供餐时间为：早餐6:30-9:00；午餐10:30-13:00；晚餐16:30-19:30；宵夜供应到22:30。中选服务商应根据医院员工的需求提供夜班人员的宵夜订餐及配送服务。</w:t>
      </w:r>
    </w:p>
    <w:p w14:paraId="0D010E8A">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（5）中选服务商自觉接受业主方及餐饮主管部门的监督管理。</w:t>
      </w:r>
    </w:p>
    <w:p w14:paraId="16A235E0">
      <w:pPr>
        <w:spacing w:line="360" w:lineRule="auto"/>
        <w:ind w:firstLine="442" w:firstLineChars="200"/>
        <w:rPr>
          <w:rFonts w:ascii="宋体" w:hAnsi="宋体" w:cs="宋体"/>
          <w:b/>
          <w:color w:val="auto"/>
          <w:sz w:val="22"/>
          <w:szCs w:val="22"/>
          <w:highlight w:val="none"/>
        </w:rPr>
      </w:pPr>
      <w:r>
        <w:rPr>
          <w:rFonts w:hint="eastAsia" w:ascii="宋体" w:hAnsi="宋体" w:cs="宋体"/>
          <w:b/>
          <w:color w:val="auto"/>
          <w:sz w:val="22"/>
          <w:szCs w:val="22"/>
          <w:highlight w:val="none"/>
        </w:rPr>
        <w:t>6、</w:t>
      </w:r>
      <w:r>
        <w:rPr>
          <w:rFonts w:hint="eastAsia" w:ascii="宋体" w:hAnsi="宋体" w:cs="宋体"/>
          <w:b/>
          <w:color w:val="auto"/>
          <w:sz w:val="22"/>
          <w:szCs w:val="22"/>
          <w:highlight w:val="none"/>
          <w:lang w:eastAsia="zh-CN"/>
        </w:rPr>
        <w:t>中选服务商</w:t>
      </w:r>
      <w:r>
        <w:rPr>
          <w:rFonts w:hint="eastAsia" w:ascii="宋体" w:hAnsi="宋体" w:cs="宋体"/>
          <w:b/>
          <w:color w:val="auto"/>
          <w:sz w:val="22"/>
          <w:szCs w:val="22"/>
          <w:highlight w:val="none"/>
        </w:rPr>
        <w:t>应承担费用，包括但不限于：</w:t>
      </w:r>
    </w:p>
    <w:p w14:paraId="39B78C57">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★（1）中选服务商负责按食品安全的要求购买食物原材料、加工和水、电、气的费用及其员工的一切工资、福利、保险、健康体检和所产生事故、责任和纠纷的处理。</w:t>
      </w:r>
    </w:p>
    <w:p w14:paraId="304EC0C8">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（2）中选服务商每年须为医院食堂购买不少于 500 万保额的食品安全责任险和不少于 200 万保额的公众责任险。</w:t>
      </w:r>
    </w:p>
    <w:p w14:paraId="788A8073">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（3）中选服务商负责办理合法经营所需的各类相关证件资料。</w:t>
      </w:r>
    </w:p>
    <w:p w14:paraId="032E0262">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4）中选服务商负责对一楼经营场所的重新装修及其基础设备、设施的改造、翻新、维修和保养；一二楼楼梯修复以及消防系统的改造；一二楼日常所需添置的各种设备设施（包括但不限于医院提供的专用电梯、台、椅等），所需费用和物品的更新、增设和日常维修保养等一切费用由中选服务商自行承担，具体要求如下：</w:t>
      </w:r>
    </w:p>
    <w:p w14:paraId="5EC8BBBE">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①中选服务商中标后1个月内必须按业主方要求，在满足食品安全管理和消防安全管理的相关法律法规要求下，开始对饭堂进行重新装修、改造和流程优化，包括但不限于：饭堂布局调整、地面墙身翻新、管道走向调整、消防设备设施增设等，重新装修后的饭堂应符合餐饮服务食品安全监督量化等级为A级以及满足最新的消防法规要求。</w:t>
      </w:r>
    </w:p>
    <w:p w14:paraId="442EDD11">
      <w:pPr>
        <w:spacing w:line="360" w:lineRule="auto"/>
        <w:ind w:firstLine="240" w:firstLineChars="100"/>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★② 中选服务商在装修前必须提交书面装修申请和图纸（含平面设计图、装修效果图等）、预算明细表、施工方案等交给业主方审批同意后方可进行，装修所产生的一切费用由中选服务商负责。批准施工之日起，三个月内完成施工，若遇特殊情况需要延期，书面说明延期原因。</w:t>
      </w:r>
    </w:p>
    <w:p w14:paraId="02390A15">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③中选服务商必须选择具备装修、消防建设资质的公司进行施工，材料、工艺必须符合环保要求及国家相关要求，业主方有权对装修公司及施工材料、工艺、环节进行监督管理，一旦发现不符合要求或以次充好的情形，业主方有权要求中选服务商立即停工整改。因中选服务商原因造成一切装修事故或安全隐患，所有责任及损失由中选服务商自行承担，对业主方造成经济或其他损失的，业主方有权进行索赔。</w:t>
      </w:r>
    </w:p>
    <w:p w14:paraId="12A526C2">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④装修改造不得对原建筑构成损害及造成环境的不协调，合同期满中选服务商可以拆除商标标牌及其他属于中选服务商的可移动的设备设施，但房屋内的固定装卸设施（如隔墙、门窗、天花、地板、消防设施等）归业主方所有，中选服务商不得拆除或破坏。</w:t>
      </w:r>
    </w:p>
    <w:p w14:paraId="02B5A6A9">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★⑤中选服务商应制定装修期间的可行供餐方案，必须确保装修改造期间的正常供餐且应符合食品安全管理要求。</w:t>
      </w:r>
    </w:p>
    <w:p w14:paraId="0AB37834">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⑥ 食堂一楼及二楼就餐区必须配置光纤WIFI全面覆盖，一切费用由中选服务商自行承担。</w:t>
      </w:r>
    </w:p>
    <w:p w14:paraId="637EFE35">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★⑦中选服务商</w:t>
      </w:r>
      <w:r>
        <w:rPr>
          <w:rFonts w:hint="eastAsia" w:ascii="宋体" w:hAnsi="宋体" w:eastAsia="宋体" w:cs="宋体"/>
          <w:i w:val="0"/>
          <w:iCs w:val="0"/>
          <w:caps w:val="0"/>
          <w:color w:val="auto"/>
          <w:spacing w:val="0"/>
          <w:kern w:val="0"/>
          <w:sz w:val="24"/>
          <w:szCs w:val="24"/>
          <w:shd w:val="clear" w:color="auto" w:fill="FFFFFF"/>
          <w:lang w:val="zh-CN" w:eastAsia="zh-CN" w:bidi="ar"/>
        </w:rPr>
        <w:t>应当具备订餐系统、IC卡消费系统功能开发、配置能力，IC卡具有移动刷卡、个人充值、</w:t>
      </w:r>
      <w:r>
        <w:rPr>
          <w:rFonts w:hint="eastAsia" w:ascii="宋体" w:hAnsi="宋体" w:eastAsia="宋体" w:cs="宋体"/>
          <w:i w:val="0"/>
          <w:iCs w:val="0"/>
          <w:caps w:val="0"/>
          <w:color w:val="auto"/>
          <w:spacing w:val="0"/>
          <w:kern w:val="0"/>
          <w:sz w:val="24"/>
          <w:szCs w:val="24"/>
          <w:shd w:val="clear" w:color="auto" w:fill="FFFFFF"/>
          <w:lang w:val="en-US" w:eastAsia="zh-CN" w:bidi="ar"/>
        </w:rPr>
        <w:t>兼容业主方现有</w:t>
      </w:r>
      <w:r>
        <w:rPr>
          <w:rFonts w:hint="eastAsia" w:ascii="宋体" w:hAnsi="宋体" w:eastAsia="宋体" w:cs="宋体"/>
          <w:i w:val="0"/>
          <w:iCs w:val="0"/>
          <w:caps w:val="0"/>
          <w:color w:val="auto"/>
          <w:spacing w:val="0"/>
          <w:kern w:val="0"/>
          <w:sz w:val="24"/>
          <w:szCs w:val="24"/>
          <w:shd w:val="clear" w:color="auto" w:fill="FFFFFF"/>
          <w:lang w:val="zh-CN" w:eastAsia="zh-CN" w:bidi="ar"/>
        </w:rPr>
        <w:t>门禁等功能，结算报表能区分招标人充值和个人充值。</w:t>
      </w:r>
      <w:r>
        <w:rPr>
          <w:rFonts w:hint="eastAsia" w:ascii="宋体" w:hAnsi="宋体" w:eastAsia="宋体" w:cs="宋体"/>
          <w:i w:val="0"/>
          <w:iCs w:val="0"/>
          <w:caps w:val="0"/>
          <w:color w:val="auto"/>
          <w:spacing w:val="0"/>
          <w:kern w:val="0"/>
          <w:sz w:val="24"/>
          <w:szCs w:val="24"/>
          <w:shd w:val="clear" w:color="auto" w:fill="FFFFFF"/>
          <w:lang w:val="en-US" w:eastAsia="zh-CN" w:bidi="ar"/>
        </w:rPr>
        <w:t>若需接入医院的相关系统，费用由中选服务商承担。饭堂信息系统应具备以下功能：</w:t>
      </w:r>
    </w:p>
    <w:p w14:paraId="7327C863">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◎具有饭堂APP网上订餐系统（提供该即将上线APP的相关材料，例如操作界面截图、运行方案等）：</w:t>
      </w:r>
    </w:p>
    <w:p w14:paraId="18ECDF43">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具备专有订餐APP且可直接网上订餐。业主方的员工可通过手机号或员工代码登录APP，患者或家属通过手机号登录。APP网上订餐系统应可以接受患者信息（病区、姓名、住院号、床号）和员工信息（员工姓名、工号或手机号等）进行订餐，并出具菜品单价明细小票。</w:t>
      </w:r>
    </w:p>
    <w:p w14:paraId="429257C1">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◎从饭堂APP网上订餐后，消费者可以查询所订餐食的物流进度，订单完成后还可以在APP网上订餐系统进行消费评价（具有图片上传功能）。</w:t>
      </w:r>
    </w:p>
    <w:p w14:paraId="3D43EF2D">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饭堂APP网上订餐系统应有预约点餐（例如提前1天下单）、临时取消订单及增加订单的功能，还具有配送餐方式（有堂食、配送、自提或他人代取，如由他人代取，需设置核对确认环节如随机取餐码）等多种配送方式的选择。</w:t>
      </w:r>
    </w:p>
    <w:p w14:paraId="4F18FEFB">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饭堂信息化系统应具备医院员工在饭堂消费时，系统应具有：“按医院员工就餐补助规则，在系统中直接扣减补贴金额后，再从员工个人饭卡账号收取差额”的功能（即员工在饭堂消费时，饭堂信息系统从员工的个人账号中收取的金额是减去医院补助后的金额），无需再另行统计并集中发放补助。中选服务商应配合用餐补助规则的变化而调整。</w:t>
      </w:r>
    </w:p>
    <w:p w14:paraId="12D87CA3">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饭堂信息系统应具备移动刷卡系统或手机网上消费（绑定饭卡）功能，让无法到食堂现场就餐的员工在病房订餐也能享受到员工消费补助。APP可对全院员工进行科室分组，对特殊科室分组（ICU、手术室、产房、介入室、胃肠镜室等）的线上订餐自动减免配送费。</w:t>
      </w:r>
    </w:p>
    <w:p w14:paraId="0E105409">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◎饭堂信息系统应具备直接通过员工手机或个人账号进行网上充值和无卡手机扫码消费等功能，应具有通过识别员工出示的手机代码直接扣费（员工在食堂一楼消费可享受对应的优惠折扣）的功能。</w:t>
      </w:r>
    </w:p>
    <w:p w14:paraId="56879D1B">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◎中选服务商提供不同类型的IC卡，享受医院补贴的IC卡应有区别。所有卡均由中标方提供，由业主方录入信息、发放、补办、取消等。</w:t>
      </w:r>
    </w:p>
    <w:p w14:paraId="6DD2D9D3">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⑧ 中选服务商在正常营业时配备充足的消毒碗柜，以保证各类餐具的清洁消毒效果。</w:t>
      </w:r>
    </w:p>
    <w:p w14:paraId="2BB4B78F">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⑨中选服务商在正常营业前应配备饭菜保温设备，以保证饭菜的保温效果。</w:t>
      </w:r>
    </w:p>
    <w:p w14:paraId="6B0A5A05">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⑩中选服务商负责更换全院目前在用的IC饭卡，并且在合同期内负责我院的饭卡、工牌（IC、ID一体卡）的制作。</w:t>
      </w:r>
    </w:p>
    <w:p w14:paraId="53BF7A90">
      <w:pPr>
        <w:spacing w:line="360" w:lineRule="auto"/>
        <w:ind w:firstLine="240" w:firstLineChars="100"/>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⑪中选服务商负责安装可燃气体报警装置设备设施，与医院监控室联动，并按照规定对设备进行检验检测。</w:t>
      </w:r>
    </w:p>
    <w:p w14:paraId="5238FF19">
      <w:pPr>
        <w:pStyle w:val="7"/>
        <w:spacing w:line="360" w:lineRule="auto"/>
        <w:rPr>
          <w:rFonts w:ascii="宋体" w:hAnsi="宋体" w:cs="宋体"/>
          <w:color w:val="auto"/>
          <w:kern w:val="2"/>
          <w:sz w:val="22"/>
          <w:szCs w:val="22"/>
          <w:highlight w:val="none"/>
        </w:rPr>
      </w:pPr>
      <w:r>
        <w:rPr>
          <w:rFonts w:hint="eastAsia" w:ascii="宋体" w:hAnsi="宋体" w:cs="宋体"/>
          <w:color w:val="auto"/>
          <w:sz w:val="22"/>
          <w:szCs w:val="22"/>
          <w:highlight w:val="none"/>
        </w:rPr>
        <w:t xml:space="preserve">  </w:t>
      </w:r>
      <w:r>
        <w:rPr>
          <w:rFonts w:hint="eastAsia" w:ascii="宋体" w:hAnsi="宋体" w:cs="宋体"/>
          <w:b/>
          <w:bCs/>
          <w:color w:val="auto"/>
          <w:sz w:val="22"/>
          <w:szCs w:val="22"/>
          <w:highlight w:val="none"/>
        </w:rPr>
        <w:t xml:space="preserve"> </w:t>
      </w:r>
      <w:r>
        <w:rPr>
          <w:rFonts w:hint="eastAsia" w:ascii="宋体" w:hAnsi="宋体" w:cs="宋体"/>
          <w:b/>
          <w:bCs/>
          <w:color w:val="auto"/>
          <w:kern w:val="2"/>
          <w:sz w:val="22"/>
          <w:szCs w:val="22"/>
          <w:highlight w:val="none"/>
        </w:rPr>
        <w:t>7、监控设备的安装</w:t>
      </w:r>
      <w:r>
        <w:rPr>
          <w:rFonts w:hint="eastAsia" w:ascii="宋体" w:hAnsi="宋体" w:cs="宋体"/>
          <w:color w:val="auto"/>
          <w:kern w:val="2"/>
          <w:sz w:val="22"/>
          <w:szCs w:val="22"/>
          <w:highlight w:val="none"/>
        </w:rPr>
        <w:t>：</w:t>
      </w:r>
    </w:p>
    <w:p w14:paraId="51CA83C3">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中选服务商应该在正常营业前在饭堂关键操作间及重点区域完成监控设备的安装，达到全方位监控，以确保对规范操作及食品质量安全进行24小时监督管理，存储时间达到90天以上。具体包括且不仅限于以下区域：</w:t>
      </w:r>
    </w:p>
    <w:p w14:paraId="72965AF7">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①一、二楼各操作间（烹饪间、烧味档、分餐区、烘焙间、洗消间等）；</w:t>
      </w:r>
    </w:p>
    <w:p w14:paraId="713C338E">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②一、二楼就餐区；</w:t>
      </w:r>
    </w:p>
    <w:p w14:paraId="734C67AF">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③一、二楼收银处；</w:t>
      </w:r>
    </w:p>
    <w:p w14:paraId="477940A5">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④一、二楼各出入口。</w:t>
      </w:r>
    </w:p>
    <w:p w14:paraId="7E366714">
      <w:pPr>
        <w:spacing w:line="360" w:lineRule="auto"/>
        <w:ind w:firstLine="240" w:firstLineChars="1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中选服务商应按照业主方主管部门的要求，在共同进行现场勘查确定后，按照在合理的位置，如业主方主管部门要求需安装的位置或在合同期内根据实际情况需加装监控设备的，中选服务商应按照要求安装，设备及安装等所有费用由中选服务商承担。</w:t>
      </w:r>
    </w:p>
    <w:p w14:paraId="27058049">
      <w:pPr>
        <w:spacing w:line="360" w:lineRule="auto"/>
        <w:ind w:firstLine="482"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★8、履约保证金：</w:t>
      </w:r>
      <w:r>
        <w:rPr>
          <w:rFonts w:hint="eastAsia" w:ascii="宋体" w:hAnsi="宋体" w:eastAsia="宋体" w:cs="宋体"/>
          <w:i w:val="0"/>
          <w:iCs w:val="0"/>
          <w:caps w:val="0"/>
          <w:color w:val="auto"/>
          <w:spacing w:val="0"/>
          <w:kern w:val="0"/>
          <w:sz w:val="24"/>
          <w:szCs w:val="24"/>
          <w:shd w:val="clear" w:color="auto" w:fill="FFFFFF"/>
          <w:lang w:val="en-US" w:eastAsia="zh-CN" w:bidi="ar"/>
        </w:rPr>
        <w:t>中选服务商中标后在签订正式合同之日起一个月内，向业主方缴纳10万元履约保证金，作为其全面履行合同义务（包括食品安全、服务质量、设备维护、人员管理等）的担保。若中选服务商发生违约行为，业主方有权扣减履约保证金。待中选服务商合同期后，无发生突发事件或严重的不良事件的，等双方交接完毕并评价优秀后，业主方将会无息退还履约保证金。</w:t>
      </w:r>
    </w:p>
    <w:p w14:paraId="27BF5FEA">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★9、中选服务商应该在正常营业时投入使用“智慧餐厅”系统，并实现以下功能：</w:t>
      </w:r>
    </w:p>
    <w:p w14:paraId="6FA1EFF7">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（1）自助称重，开放式一菜一价自由餐，自由、透明、公道、灵活。</w:t>
      </w:r>
    </w:p>
    <w:p w14:paraId="7AF86079">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（2）智慧餐盘结算，高效、便捷的结算方式，减少就餐高峰期的排队情况。</w:t>
      </w:r>
    </w:p>
    <w:p w14:paraId="39961263">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（3）提供便捷操作如下：</w:t>
      </w:r>
    </w:p>
    <w:p w14:paraId="67683B5A">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①关注公众号，自行注册充值</w:t>
      </w:r>
    </w:p>
    <w:p w14:paraId="1AE707B1">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②取托盘，到绑卡机处刷脸绑定托盘</w:t>
      </w:r>
    </w:p>
    <w:p w14:paraId="1993E463">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③绑定成功，拿取托盘到各菜盘处自行取菜 </w:t>
      </w:r>
    </w:p>
    <w:p w14:paraId="3C7A7894">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④完成取菜后托盘放在下面感应盘上面，自动生成订单</w:t>
      </w:r>
    </w:p>
    <w:p w14:paraId="50828261">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⑤自动余额结算</w:t>
      </w:r>
    </w:p>
    <w:p w14:paraId="1A8B8308">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10、中选服务商应在中标后1个月内在手术室、产房、ICU、介入室、胃镜室等科室增设智能保温柜或温餐车等保温设备（根据业主方实际科室需求进行投放）,解决医生手术餐、误餐等问题。餐厅接单，将餐品打包完成后，由配餐员将餐品摆放至保温设备内。医护人员可以随时取餐，确保保温、安全。</w:t>
      </w:r>
    </w:p>
    <w:p w14:paraId="7209CCB3">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11、中选服务商所投入的装修、固定资产类设备设施（不包含餐具用具等低值易耗品）按6年计算折旧，后三年的折旧费用由下一服务期的中选服务商承担。中选服务商需向业主方提供固定资产类设备设施的目录清单、采购发票及其他相关凭证，业主方可委托第三方审计机构进行审计，最终确定拟进行折旧的资产清单和资产总额。合同期内，中选服务商负责折旧设备设施的保管、维修维护、更换，合同到期后，须将折旧目录清单内的所有设备设施移交给下一期服务商，如有缺失的，由中选服务商负责补充，或者将缺失的设备设施移出折旧资产清单。</w:t>
      </w:r>
    </w:p>
    <w:p w14:paraId="397ECAAD">
      <w:pPr>
        <w:spacing w:line="360" w:lineRule="auto"/>
        <w:ind w:firstLine="480" w:firstLineChars="200"/>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12、按加速折旧法中的“年数总和法”进行折旧，每年折旧率约为：第一年28.57%、第二年23.80%、第三年19.05%、第四年14.30%、第五年9.52%、第六年4.76%，从合同起始日开始计算折旧，折旧完后，所有设备设施产权归业主方所有。</w:t>
      </w:r>
    </w:p>
    <w:p w14:paraId="55434ED2">
      <w:pPr>
        <w:pStyle w:val="18"/>
        <w:keepNext w:val="0"/>
        <w:keepLines w:val="0"/>
        <w:pageBreakBefore w:val="0"/>
        <w:widowControl/>
        <w:numPr>
          <w:ilvl w:val="0"/>
          <w:numId w:val="0"/>
        </w:numPr>
        <w:kinsoku/>
        <w:wordWrap/>
        <w:overflowPunct/>
        <w:topLinePunct w:val="0"/>
        <w:bidi w:val="0"/>
        <w:spacing w:beforeAutospacing="0" w:afterAutospacing="0" w:line="360" w:lineRule="auto"/>
        <w:ind w:firstLine="562" w:firstLineChars="200"/>
        <w:jc w:val="both"/>
        <w:textAlignment w:val="baseline"/>
        <w:rPr>
          <w:rFonts w:hint="eastAsia" w:ascii="宋体" w:hAnsi="宋体" w:eastAsia="宋体" w:cs="宋体"/>
          <w:b/>
          <w:color w:val="auto"/>
          <w:sz w:val="28"/>
          <w:szCs w:val="28"/>
        </w:rPr>
      </w:pPr>
      <w:r>
        <w:rPr>
          <w:rFonts w:hint="eastAsia" w:ascii="宋体" w:hAnsi="宋体" w:eastAsia="宋体" w:cs="宋体"/>
          <w:b/>
          <w:color w:val="auto"/>
          <w:kern w:val="0"/>
          <w:sz w:val="28"/>
          <w:szCs w:val="28"/>
          <w:lang w:val="en-US" w:eastAsia="zh-CN" w:bidi="ar-SA"/>
        </w:rPr>
        <w:t>四、服务要求：</w:t>
      </w:r>
    </w:p>
    <w:p w14:paraId="26D486BB">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1、中选服务商供应“由消费者自选菜品”的供餐模式。每餐供应食品的种类应包括（但不限于）：粤菜、湘菜、川菜、粥、粉、面类和各类风味小吃等，并提供各种调味料如：糖、酱油、辣椒圈/酱等；午、晚餐</w:t>
      </w:r>
      <w:r>
        <w:rPr>
          <w:rFonts w:hint="eastAsia" w:ascii="宋体" w:hAnsi="宋体" w:eastAsia="宋体" w:cs="宋体"/>
          <w:i w:val="0"/>
          <w:iCs w:val="0"/>
          <w:caps w:val="0"/>
          <w:color w:val="auto"/>
          <w:spacing w:val="0"/>
          <w:kern w:val="0"/>
          <w:sz w:val="24"/>
          <w:szCs w:val="24"/>
          <w:shd w:val="clear" w:color="auto" w:fill="FFFFFF"/>
          <w:lang w:val="zh-CN" w:eastAsia="zh-CN" w:bidi="ar"/>
        </w:rPr>
        <w:t>米饭和例汤</w:t>
      </w:r>
      <w:r>
        <w:rPr>
          <w:rFonts w:hint="eastAsia" w:ascii="宋体" w:hAnsi="宋体" w:eastAsia="宋体" w:cs="宋体"/>
          <w:i w:val="0"/>
          <w:iCs w:val="0"/>
          <w:caps w:val="0"/>
          <w:color w:val="auto"/>
          <w:spacing w:val="0"/>
          <w:kern w:val="0"/>
          <w:sz w:val="24"/>
          <w:szCs w:val="24"/>
          <w:shd w:val="clear" w:color="auto" w:fill="FFFFFF"/>
          <w:lang w:val="en-US" w:eastAsia="zh-CN" w:bidi="ar"/>
        </w:rPr>
        <w:t>可无限</w:t>
      </w:r>
      <w:r>
        <w:rPr>
          <w:rFonts w:hint="eastAsia" w:ascii="宋体" w:hAnsi="宋体" w:eastAsia="宋体" w:cs="宋体"/>
          <w:i w:val="0"/>
          <w:iCs w:val="0"/>
          <w:caps w:val="0"/>
          <w:color w:val="auto"/>
          <w:spacing w:val="0"/>
          <w:kern w:val="0"/>
          <w:sz w:val="24"/>
          <w:szCs w:val="24"/>
          <w:shd w:val="clear" w:color="auto" w:fill="FFFFFF"/>
          <w:lang w:val="zh-CN" w:eastAsia="zh-CN" w:bidi="ar"/>
        </w:rPr>
        <w:t>添加，</w:t>
      </w:r>
      <w:r>
        <w:rPr>
          <w:rFonts w:hint="eastAsia" w:ascii="宋体" w:hAnsi="宋体" w:eastAsia="宋体" w:cs="宋体"/>
          <w:i w:val="0"/>
          <w:iCs w:val="0"/>
          <w:caps w:val="0"/>
          <w:color w:val="auto"/>
          <w:spacing w:val="0"/>
          <w:kern w:val="0"/>
          <w:sz w:val="24"/>
          <w:szCs w:val="24"/>
          <w:shd w:val="clear" w:color="auto" w:fill="FFFFFF"/>
          <w:lang w:val="en-US" w:eastAsia="zh-CN" w:bidi="ar"/>
        </w:rPr>
        <w:t>二楼职工饭堂不少于20个菜品</w:t>
      </w:r>
      <w:r>
        <w:rPr>
          <w:rFonts w:hint="eastAsia" w:ascii="宋体" w:hAnsi="宋体" w:eastAsia="宋体" w:cs="宋体"/>
          <w:i w:val="0"/>
          <w:iCs w:val="0"/>
          <w:caps w:val="0"/>
          <w:color w:val="auto"/>
          <w:spacing w:val="0"/>
          <w:kern w:val="0"/>
          <w:sz w:val="24"/>
          <w:szCs w:val="24"/>
          <w:shd w:val="clear" w:color="auto" w:fill="FFFFFF"/>
          <w:lang w:val="zh-CN" w:eastAsia="zh-CN" w:bidi="ar"/>
        </w:rPr>
        <w:t>。</w:t>
      </w:r>
    </w:p>
    <w:p w14:paraId="25C9F4F0">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2、按照我院的要求，需要提供不少于以下的餐品类型（必要时营养科协助制定相关的餐食标准）：</w:t>
      </w:r>
    </w:p>
    <w:p w14:paraId="17B2BA87">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（1）住院患者基本膳食；</w:t>
      </w:r>
    </w:p>
    <w:p w14:paraId="2F049824">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（2）住院患者特殊治疗膳食（低糖餐、减脂餐、流质等）；</w:t>
      </w:r>
    </w:p>
    <w:p w14:paraId="6DAD52AC">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（3）住院产妇月子餐；</w:t>
      </w:r>
    </w:p>
    <w:p w14:paraId="06EC77E1">
      <w:pPr>
        <w:spacing w:line="360" w:lineRule="auto"/>
        <w:ind w:firstLine="480" w:firstLineChars="200"/>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（4）体检餐（业主方指定体检餐标，中选服务商按需进行供应）；</w:t>
      </w:r>
    </w:p>
    <w:p w14:paraId="29EB17D9">
      <w:pPr>
        <w:spacing w:line="360" w:lineRule="auto"/>
        <w:ind w:firstLine="480" w:firstLineChars="200"/>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（5）职工的基本膳食（早餐、午餐、晚餐），分为自助菜品以及一楼独立菜品（不限于快餐、煲仔饭、汤粉面等）；</w:t>
      </w:r>
    </w:p>
    <w:p w14:paraId="6AB5F32B">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（6）一楼患者的基本膳食（早餐、午餐、晚餐），不限于快餐、煲仔饭、汤粉面等；</w:t>
      </w:r>
    </w:p>
    <w:p w14:paraId="3AA12C91">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（7）特殊地方风味膳食；</w:t>
      </w:r>
    </w:p>
    <w:p w14:paraId="46375B50">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zh-CN" w:eastAsia="zh-CN" w:bidi="ar"/>
        </w:rPr>
      </w:pPr>
      <w:r>
        <w:rPr>
          <w:rFonts w:hint="eastAsia" w:ascii="宋体" w:hAnsi="宋体" w:eastAsia="宋体" w:cs="宋体"/>
          <w:i w:val="0"/>
          <w:iCs w:val="0"/>
          <w:caps w:val="0"/>
          <w:color w:val="auto"/>
          <w:spacing w:val="0"/>
          <w:kern w:val="0"/>
          <w:sz w:val="24"/>
          <w:szCs w:val="24"/>
          <w:shd w:val="clear" w:color="auto" w:fill="FFFFFF"/>
          <w:lang w:val="zh-CN" w:eastAsia="zh-CN" w:bidi="ar"/>
        </w:rPr>
        <w:t>打包送餐额外加收</w:t>
      </w:r>
      <w:r>
        <w:rPr>
          <w:rFonts w:hint="eastAsia" w:ascii="宋体" w:hAnsi="宋体" w:eastAsia="宋体" w:cs="宋体"/>
          <w:i w:val="0"/>
          <w:iCs w:val="0"/>
          <w:caps w:val="0"/>
          <w:color w:val="auto"/>
          <w:spacing w:val="0"/>
          <w:kern w:val="0"/>
          <w:sz w:val="24"/>
          <w:szCs w:val="24"/>
          <w:shd w:val="clear" w:color="auto" w:fill="FFFFFF"/>
          <w:lang w:val="en-US" w:eastAsia="zh-CN" w:bidi="ar"/>
        </w:rPr>
        <w:t>打包费不得高于</w:t>
      </w:r>
      <w:r>
        <w:rPr>
          <w:rFonts w:hint="eastAsia" w:ascii="宋体" w:hAnsi="宋体" w:eastAsia="宋体" w:cs="宋体"/>
          <w:i w:val="0"/>
          <w:iCs w:val="0"/>
          <w:caps w:val="0"/>
          <w:color w:val="auto"/>
          <w:spacing w:val="0"/>
          <w:kern w:val="0"/>
          <w:sz w:val="24"/>
          <w:szCs w:val="24"/>
          <w:shd w:val="clear" w:color="auto" w:fill="FFFFFF"/>
          <w:lang w:val="zh-CN" w:eastAsia="zh-CN" w:bidi="ar"/>
        </w:rPr>
        <w:t>1元</w:t>
      </w:r>
      <w:r>
        <w:rPr>
          <w:rFonts w:hint="eastAsia" w:ascii="宋体" w:hAnsi="宋体" w:eastAsia="宋体" w:cs="宋体"/>
          <w:i w:val="0"/>
          <w:iCs w:val="0"/>
          <w:caps w:val="0"/>
          <w:color w:val="auto"/>
          <w:spacing w:val="0"/>
          <w:kern w:val="0"/>
          <w:sz w:val="24"/>
          <w:szCs w:val="24"/>
          <w:shd w:val="clear" w:color="auto" w:fill="FFFFFF"/>
          <w:lang w:val="en-US" w:eastAsia="zh-CN" w:bidi="ar"/>
        </w:rPr>
        <w:t>（特殊科室如ICU、手术室、产房等免打包费）</w:t>
      </w:r>
      <w:r>
        <w:rPr>
          <w:rFonts w:hint="eastAsia" w:ascii="宋体" w:hAnsi="宋体" w:eastAsia="宋体" w:cs="宋体"/>
          <w:i w:val="0"/>
          <w:iCs w:val="0"/>
          <w:caps w:val="0"/>
          <w:color w:val="auto"/>
          <w:spacing w:val="0"/>
          <w:kern w:val="0"/>
          <w:sz w:val="24"/>
          <w:szCs w:val="24"/>
          <w:shd w:val="clear" w:color="auto" w:fill="FFFFFF"/>
          <w:lang w:val="zh-CN" w:eastAsia="zh-CN" w:bidi="ar"/>
        </w:rPr>
        <w:t>，</w:t>
      </w:r>
      <w:r>
        <w:rPr>
          <w:rFonts w:hint="eastAsia" w:ascii="宋体" w:hAnsi="宋体" w:eastAsia="宋体" w:cs="宋体"/>
          <w:i w:val="0"/>
          <w:iCs w:val="0"/>
          <w:caps w:val="0"/>
          <w:color w:val="auto"/>
          <w:spacing w:val="0"/>
          <w:kern w:val="0"/>
          <w:sz w:val="24"/>
          <w:szCs w:val="24"/>
          <w:shd w:val="clear" w:color="auto" w:fill="FFFFFF"/>
          <w:lang w:val="en-US" w:eastAsia="zh-CN" w:bidi="ar"/>
        </w:rPr>
        <w:t>早中晚餐外卖配送不设置起送门槛。</w:t>
      </w:r>
    </w:p>
    <w:p w14:paraId="2340DA3D">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★3、响应服务商需在供应方案中列明所供应的早餐的每个品种菜式、午晚餐的荤菜、半荤菜以及素菜的菜式、价格以及供应方案，至少包含以下内容：</w:t>
      </w:r>
    </w:p>
    <w:p w14:paraId="3CFE9D5A">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①计划供应的早餐所有品种菜式名录</w:t>
      </w:r>
    </w:p>
    <w:p w14:paraId="30EEFCB7">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zh-CN"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②计</w:t>
      </w:r>
      <w:r>
        <w:rPr>
          <w:rFonts w:hint="eastAsia" w:ascii="宋体" w:hAnsi="宋体" w:eastAsia="宋体" w:cs="宋体"/>
          <w:i w:val="0"/>
          <w:iCs w:val="0"/>
          <w:caps w:val="0"/>
          <w:color w:val="auto"/>
          <w:spacing w:val="0"/>
          <w:kern w:val="0"/>
          <w:sz w:val="24"/>
          <w:szCs w:val="24"/>
          <w:shd w:val="clear" w:color="auto" w:fill="FFFFFF"/>
          <w:lang w:val="zh-CN" w:eastAsia="zh-CN" w:bidi="ar"/>
        </w:rPr>
        <w:t>划供应的所有荤菜菜式名录</w:t>
      </w:r>
    </w:p>
    <w:p w14:paraId="2EB4045C">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zh-CN"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③</w:t>
      </w:r>
      <w:r>
        <w:rPr>
          <w:rFonts w:hint="eastAsia" w:ascii="宋体" w:hAnsi="宋体" w:eastAsia="宋体" w:cs="宋体"/>
          <w:i w:val="0"/>
          <w:iCs w:val="0"/>
          <w:caps w:val="0"/>
          <w:color w:val="auto"/>
          <w:spacing w:val="0"/>
          <w:kern w:val="0"/>
          <w:sz w:val="24"/>
          <w:szCs w:val="24"/>
          <w:shd w:val="clear" w:color="auto" w:fill="FFFFFF"/>
          <w:lang w:val="zh-CN" w:eastAsia="zh-CN" w:bidi="ar"/>
        </w:rPr>
        <w:t>计划供应的所有半荤菜菜式名录</w:t>
      </w:r>
    </w:p>
    <w:p w14:paraId="65DE5C52">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zh-CN"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④</w:t>
      </w:r>
      <w:r>
        <w:rPr>
          <w:rFonts w:hint="eastAsia" w:ascii="宋体" w:hAnsi="宋体" w:eastAsia="宋体" w:cs="宋体"/>
          <w:i w:val="0"/>
          <w:iCs w:val="0"/>
          <w:caps w:val="0"/>
          <w:color w:val="auto"/>
          <w:spacing w:val="0"/>
          <w:kern w:val="0"/>
          <w:sz w:val="24"/>
          <w:szCs w:val="24"/>
          <w:shd w:val="clear" w:color="auto" w:fill="FFFFFF"/>
          <w:lang w:val="zh-CN" w:eastAsia="zh-CN" w:bidi="ar"/>
        </w:rPr>
        <w:t>计划供应的所有素菜菜式名录</w:t>
      </w:r>
    </w:p>
    <w:p w14:paraId="6FC60F60">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zh-CN"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⑤</w:t>
      </w:r>
      <w:r>
        <w:rPr>
          <w:rFonts w:hint="eastAsia" w:ascii="宋体" w:hAnsi="宋体" w:eastAsia="宋体" w:cs="宋体"/>
          <w:i w:val="0"/>
          <w:iCs w:val="0"/>
          <w:caps w:val="0"/>
          <w:color w:val="auto"/>
          <w:spacing w:val="0"/>
          <w:kern w:val="0"/>
          <w:sz w:val="24"/>
          <w:szCs w:val="24"/>
          <w:shd w:val="clear" w:color="auto" w:fill="FFFFFF"/>
          <w:lang w:val="zh-CN" w:eastAsia="zh-CN" w:bidi="ar"/>
        </w:rPr>
        <w:t>计划供应的例汤名录</w:t>
      </w:r>
    </w:p>
    <w:p w14:paraId="4B30CCCE">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⑥计划供应的煲仔饭名录</w:t>
      </w:r>
    </w:p>
    <w:p w14:paraId="7132B6A9">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⑦计划供应的炖汤名录</w:t>
      </w:r>
    </w:p>
    <w:p w14:paraId="20A7D43D">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⑧计划供应的地方特色风味餐名录（如北方特色面食、水煮鱼/牛肉等）</w:t>
      </w:r>
    </w:p>
    <w:p w14:paraId="39BBA3B0">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zh-CN" w:eastAsia="zh-CN" w:bidi="ar"/>
        </w:rPr>
        <w:t>⑨每天供应的菜式计划表（按照每周为一个周期进行计划）</w:t>
      </w: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                                                                                                                                              </w:t>
      </w:r>
    </w:p>
    <w:p w14:paraId="14D4C711">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4、为产妇、患者及家属提供的餐饮食品价格不得高于市场同等水平，中选服务商在投标时提供供应患者及家属的菜品定价报价（包含但不限于：点心类、煲仔饭类、粥粉面类、快餐、月子餐套餐、低糖餐等）。具体价格可根据市场的价格浮动，由中选服务商提出书面申请，经双方核定确认后方可浮动，中选服务商不得私自调整价格。中选服务商应配合和接受业主方主管部门有权检查和监督中选服务商的进货价格、成本、会计账单等台账资料的监督和管理。</w:t>
      </w:r>
    </w:p>
    <w:p w14:paraId="41FF79FB">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5、职工餐（含职工、规培、实习人员、进修人员、研究生等）的菜品单价根据现供应的菜品单价进行下浮，下浮区间为10%～30%（即折扣率70%～90%）（详见附表），未在附表内的菜品，以现有同品类菜品下浮后的价格定价销售。职工二楼称重白饭价格固定0.5元（400g以内）。</w:t>
      </w:r>
    </w:p>
    <w:p w14:paraId="3F4EDC74">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zh-CN"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6、中选服务商需配合和接受业主方对进货价格、成本、会计账单等台账资料的监督和管理，业主方有权指定第三方审计机构对食堂的经营状况进行审计。医院享有食堂运营系统的数据报表监管权限，中选服务商需开放系统权限给业主方，业主方可随时查阅以下数据：营业收入、经营成本、实时食材溯源情况、库存数量、产品销量、收据等，以上数据不得弄虚作假。</w:t>
      </w:r>
      <w:r>
        <w:rPr>
          <w:rFonts w:hint="eastAsia" w:ascii="宋体" w:hAnsi="宋体" w:eastAsia="宋体" w:cs="宋体"/>
          <w:i w:val="0"/>
          <w:iCs w:val="0"/>
          <w:caps w:val="0"/>
          <w:color w:val="auto"/>
          <w:spacing w:val="0"/>
          <w:kern w:val="0"/>
          <w:sz w:val="24"/>
          <w:szCs w:val="24"/>
          <w:shd w:val="clear" w:color="auto" w:fill="FFFFFF"/>
          <w:lang w:val="zh-CN" w:eastAsia="zh-CN" w:bidi="ar"/>
        </w:rPr>
        <w:t>如发现有偷水、偷电、</w:t>
      </w:r>
      <w:r>
        <w:rPr>
          <w:rFonts w:hint="eastAsia" w:ascii="宋体" w:hAnsi="宋体" w:eastAsia="宋体" w:cs="宋体"/>
          <w:i w:val="0"/>
          <w:iCs w:val="0"/>
          <w:caps w:val="0"/>
          <w:color w:val="auto"/>
          <w:spacing w:val="0"/>
          <w:kern w:val="0"/>
          <w:sz w:val="24"/>
          <w:szCs w:val="24"/>
          <w:shd w:val="clear" w:color="auto" w:fill="FFFFFF"/>
          <w:lang w:val="en-US" w:eastAsia="zh-CN" w:bidi="ar"/>
        </w:rPr>
        <w:t>偷汽等</w:t>
      </w:r>
      <w:r>
        <w:rPr>
          <w:rFonts w:hint="eastAsia" w:ascii="宋体" w:hAnsi="宋体" w:eastAsia="宋体" w:cs="宋体"/>
          <w:i w:val="0"/>
          <w:iCs w:val="0"/>
          <w:caps w:val="0"/>
          <w:color w:val="auto"/>
          <w:spacing w:val="0"/>
          <w:kern w:val="0"/>
          <w:sz w:val="24"/>
          <w:szCs w:val="24"/>
          <w:shd w:val="clear" w:color="auto" w:fill="FFFFFF"/>
          <w:lang w:val="zh-CN" w:eastAsia="zh-CN" w:bidi="ar"/>
        </w:rPr>
        <w:t>行为业主方有权按当月</w:t>
      </w:r>
      <w:r>
        <w:rPr>
          <w:rFonts w:hint="eastAsia" w:ascii="宋体" w:hAnsi="宋体" w:eastAsia="宋体" w:cs="宋体"/>
          <w:i w:val="0"/>
          <w:iCs w:val="0"/>
          <w:caps w:val="0"/>
          <w:color w:val="auto"/>
          <w:spacing w:val="0"/>
          <w:kern w:val="0"/>
          <w:sz w:val="24"/>
          <w:szCs w:val="24"/>
          <w:shd w:val="clear" w:color="auto" w:fill="FFFFFF"/>
          <w:lang w:val="en-US" w:eastAsia="zh-CN" w:bidi="ar"/>
        </w:rPr>
        <w:t>应付</w:t>
      </w:r>
      <w:r>
        <w:rPr>
          <w:rFonts w:hint="eastAsia" w:ascii="宋体" w:hAnsi="宋体" w:eastAsia="宋体" w:cs="宋体"/>
          <w:i w:val="0"/>
          <w:iCs w:val="0"/>
          <w:caps w:val="0"/>
          <w:color w:val="auto"/>
          <w:spacing w:val="0"/>
          <w:kern w:val="0"/>
          <w:sz w:val="24"/>
          <w:szCs w:val="24"/>
          <w:shd w:val="clear" w:color="auto" w:fill="FFFFFF"/>
          <w:lang w:val="zh-CN" w:eastAsia="zh-CN" w:bidi="ar"/>
        </w:rPr>
        <w:t>费的10倍扣罚。</w:t>
      </w:r>
    </w:p>
    <w:p w14:paraId="2BC0FBFF">
      <w:pPr>
        <w:spacing w:line="360" w:lineRule="auto"/>
        <w:ind w:firstLine="480" w:firstLineChars="200"/>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7、中选服务商每月 10 号前需向业主方提交食堂上一月份的经营报表。</w:t>
      </w:r>
    </w:p>
    <w:p w14:paraId="68B7EE98">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8、消费结算方式：医院的员工（含实习生、进修生、医院内其他工作人员）就餐时以个人饭卡或信息代码进行结算的方式结算，二楼职工就餐区不得收取现金。医院的员工（含实习生、进修生、医院内其他工作人员）在一楼就餐按菜品下浮定价价格结算，包餐费用以签单形式支付，患者、家属及外来人员就餐以现金、微信等方式结算。业主方需要支付的费用，当月的费用在下一个月下旬凭发票支付。</w:t>
      </w:r>
    </w:p>
    <w:p w14:paraId="16AD35A8">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9、送餐服务：应为患者及家属、医院值班员工、特殊需求的员工和患者及家属、特殊科室（手术室、ICU、新生儿、产房、介入室、胃肠镜室等）提供电话/微信订餐、上门订餐、APP订餐等多种方式，</w:t>
      </w:r>
      <w:r>
        <w:rPr>
          <w:rFonts w:hint="eastAsia" w:ascii="宋体" w:hAnsi="宋体" w:eastAsia="宋体" w:cs="宋体"/>
          <w:b/>
          <w:bCs/>
          <w:i w:val="0"/>
          <w:iCs w:val="0"/>
          <w:caps w:val="0"/>
          <w:color w:val="auto"/>
          <w:spacing w:val="0"/>
          <w:kern w:val="0"/>
          <w:sz w:val="24"/>
          <w:szCs w:val="24"/>
          <w:shd w:val="clear" w:color="auto" w:fill="FFFFFF"/>
          <w:lang w:val="en-US" w:eastAsia="zh-CN" w:bidi="ar"/>
        </w:rPr>
        <w:t>外卖订餐时间为24小时开放，可自选送达时间，</w:t>
      </w:r>
      <w:r>
        <w:rPr>
          <w:rFonts w:hint="eastAsia" w:ascii="宋体" w:hAnsi="宋体" w:eastAsia="宋体" w:cs="宋体"/>
          <w:i w:val="0"/>
          <w:iCs w:val="0"/>
          <w:caps w:val="0"/>
          <w:color w:val="auto"/>
          <w:spacing w:val="0"/>
          <w:kern w:val="0"/>
          <w:sz w:val="24"/>
          <w:szCs w:val="24"/>
          <w:shd w:val="clear" w:color="auto" w:fill="FFFFFF"/>
          <w:lang w:val="en-US" w:eastAsia="zh-CN" w:bidi="ar"/>
        </w:rPr>
        <w:t>并提供送餐上门服务（上述特殊科室不另行收取配送费）及各类应急供餐服务，要求送餐时间为45分钟内送达。有专人负责订餐工作，一日三餐上门订餐服务需在规定时间内由专人到科室。</w:t>
      </w:r>
    </w:p>
    <w:p w14:paraId="4AE20D2B">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10、中选服务商应保证一日三餐正点、足量（每个品种应设定标准份量）、优质、新鲜、品种多样、价格合理，能适应不同口味的职工和患者及家属就餐。中选服务商供应的食物应能满足每天的用餐需求，在供餐时间不得出现食物供应不足的现象；严禁出售变质、变味以及剩饭菜。经营期间若收到餐品中出现异物或出餐错误的反馈，需退换餐品或补差价处理。</w:t>
      </w:r>
    </w:p>
    <w:p w14:paraId="17F75773">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11、每逢特殊节假日（护士节、</w:t>
      </w:r>
      <w:r>
        <w:rPr>
          <w:rFonts w:hint="eastAsia" w:ascii="宋体" w:hAnsi="宋体" w:eastAsia="宋体" w:cs="宋体"/>
          <w:i w:val="0"/>
          <w:iCs w:val="0"/>
          <w:caps w:val="0"/>
          <w:color w:val="auto"/>
          <w:spacing w:val="0"/>
          <w:kern w:val="0"/>
          <w:sz w:val="24"/>
          <w:szCs w:val="24"/>
          <w:shd w:val="clear" w:color="auto" w:fill="FFFFFF"/>
          <w:lang w:val="zh-CN" w:eastAsia="zh-CN" w:bidi="ar"/>
        </w:rPr>
        <w:t>医师节、</w:t>
      </w:r>
      <w:r>
        <w:rPr>
          <w:rFonts w:hint="eastAsia" w:ascii="宋体" w:hAnsi="宋体" w:eastAsia="宋体" w:cs="宋体"/>
          <w:i w:val="0"/>
          <w:iCs w:val="0"/>
          <w:caps w:val="0"/>
          <w:color w:val="auto"/>
          <w:spacing w:val="0"/>
          <w:kern w:val="0"/>
          <w:sz w:val="24"/>
          <w:szCs w:val="24"/>
          <w:shd w:val="clear" w:color="auto" w:fill="FFFFFF"/>
          <w:lang w:val="en-US" w:eastAsia="zh-CN" w:bidi="ar"/>
        </w:rPr>
        <w:t>中秋节、端午节等）</w:t>
      </w:r>
      <w:r>
        <w:rPr>
          <w:rFonts w:hint="eastAsia" w:ascii="宋体" w:hAnsi="宋体" w:eastAsia="宋体" w:cs="宋体"/>
          <w:i w:val="0"/>
          <w:iCs w:val="0"/>
          <w:caps w:val="0"/>
          <w:color w:val="auto"/>
          <w:spacing w:val="0"/>
          <w:kern w:val="0"/>
          <w:sz w:val="24"/>
          <w:szCs w:val="24"/>
          <w:shd w:val="clear" w:color="auto" w:fill="FFFFFF"/>
          <w:lang w:val="zh-CN" w:eastAsia="zh-CN" w:bidi="ar"/>
        </w:rPr>
        <w:t>对特定人群</w:t>
      </w:r>
      <w:r>
        <w:rPr>
          <w:rFonts w:hint="eastAsia" w:ascii="宋体" w:hAnsi="宋体" w:eastAsia="宋体" w:cs="宋体"/>
          <w:i w:val="0"/>
          <w:iCs w:val="0"/>
          <w:caps w:val="0"/>
          <w:color w:val="auto"/>
          <w:spacing w:val="0"/>
          <w:kern w:val="0"/>
          <w:sz w:val="24"/>
          <w:szCs w:val="24"/>
          <w:shd w:val="clear" w:color="auto" w:fill="FFFFFF"/>
          <w:lang w:val="en-US" w:eastAsia="zh-CN" w:bidi="ar"/>
        </w:rPr>
        <w:t>添加额外菜品或水果（业主方不再另行支付费用），给全体职工送上节日慰问及祝福。夏季应根据医院的需要协助制作凉茶、绿豆沙等各类特色食品供应。</w:t>
      </w:r>
    </w:p>
    <w:p w14:paraId="418AF305">
      <w:pPr>
        <w:spacing w:line="360" w:lineRule="auto"/>
        <w:ind w:firstLine="480" w:firstLineChars="200"/>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12、特殊节假日（护士节、</w:t>
      </w:r>
      <w:r>
        <w:rPr>
          <w:rFonts w:hint="eastAsia" w:ascii="宋体" w:hAnsi="宋体" w:eastAsia="宋体" w:cs="宋体"/>
          <w:i w:val="0"/>
          <w:iCs w:val="0"/>
          <w:caps w:val="0"/>
          <w:color w:val="auto"/>
          <w:spacing w:val="0"/>
          <w:kern w:val="0"/>
          <w:sz w:val="24"/>
          <w:szCs w:val="24"/>
          <w:shd w:val="clear" w:color="auto" w:fill="FFFFFF"/>
          <w:lang w:val="zh-CN" w:eastAsia="zh-CN" w:bidi="ar"/>
        </w:rPr>
        <w:t>医师节、</w:t>
      </w:r>
      <w:r>
        <w:rPr>
          <w:rFonts w:hint="eastAsia" w:ascii="宋体" w:hAnsi="宋体" w:eastAsia="宋体" w:cs="宋体"/>
          <w:i w:val="0"/>
          <w:iCs w:val="0"/>
          <w:caps w:val="0"/>
          <w:color w:val="auto"/>
          <w:spacing w:val="0"/>
          <w:kern w:val="0"/>
          <w:sz w:val="24"/>
          <w:szCs w:val="24"/>
          <w:shd w:val="clear" w:color="auto" w:fill="FFFFFF"/>
          <w:lang w:val="en-US" w:eastAsia="zh-CN" w:bidi="ar"/>
        </w:rPr>
        <w:t>中秋节、端午节等），除上述第11点的节日慰问及祝福内容外，围绕职工可提供的活动（如：亲子活动、打折促销活动等）</w:t>
      </w:r>
    </w:p>
    <w:p w14:paraId="751BA80A">
      <w:pPr>
        <w:spacing w:line="360" w:lineRule="auto"/>
        <w:ind w:firstLine="480" w:firstLineChars="200"/>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13、中选服务商可提供已粗加工的半成品新鲜食材（如：切配好的蔬菜、新鲜腌制的肉片、已发酵好的面包胚等）。</w:t>
      </w:r>
    </w:p>
    <w:p w14:paraId="129680E2">
      <w:pPr>
        <w:spacing w:line="360" w:lineRule="auto"/>
        <w:ind w:firstLine="480" w:firstLineChars="200"/>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▲14、除以上要求的内容，响应服务商可在遴选文件中提供额外增值服务。</w:t>
      </w:r>
    </w:p>
    <w:p w14:paraId="41174C52">
      <w:pPr>
        <w:pStyle w:val="18"/>
        <w:keepNext w:val="0"/>
        <w:keepLines w:val="0"/>
        <w:pageBreakBefore w:val="0"/>
        <w:widowControl/>
        <w:kinsoku/>
        <w:wordWrap/>
        <w:overflowPunct/>
        <w:topLinePunct w:val="0"/>
        <w:bidi w:val="0"/>
        <w:spacing w:beforeAutospacing="0" w:afterAutospacing="0" w:line="360" w:lineRule="auto"/>
        <w:ind w:firstLine="562" w:firstLineChars="200"/>
        <w:jc w:val="both"/>
        <w:textAlignment w:val="baseline"/>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lang w:val="en-US" w:eastAsia="zh-CN"/>
        </w:rPr>
        <w:t>五、饮食质量要求</w:t>
      </w:r>
    </w:p>
    <w:p w14:paraId="53737DB0">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所有的食品、副食品及配料等必须由正常渠道购进，确保食材安全、无农药、无添加、确保最佳产地、确保非转基因，中选服务商在采购粮油、肉蛋类、禽类、鱼类、蔬菜类、副食品类、调味类、食品添加剂等原料和物品必须符合《中华人民共和国食品安全法》、《中华人民共和国动物防疫法》等相关规定，符合卫生标准和营养要求。</w:t>
      </w:r>
    </w:p>
    <w:p w14:paraId="3F6082A4">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设有专职采购员,每次采购，严格做好进货验收和索票索证工作，建立采购台账（必须专人规范填写）、索证验收台账、响应服务商资质证明台账等，索取响应服务商有效的资质、检验检测合格证明等文件，包括但不仅限于《营业执照》、《食品卫生许可证》、《产品质量检验报告》、《出厂检验报告》、《动物检疫合格证明》、《肉品品质检验合格证》、《送货清单》、《购货凭据》；饮料、乳制品、调味品等食品每批次的检验合格证或检验单；蔬菜等散装农副食品及鱼类等鲜活产品检验合格证明；一次性餐具检验合格证；清洁剂检验合格证明等。随时接受业主方及上级部门的检查。</w:t>
      </w:r>
    </w:p>
    <w:p w14:paraId="54312014">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 3、保证每天每餐的饮食质量、份量、菜式，做到食材新鲜、饭熟菜香，营养搭配科学合理，调配比例均匀，味道可口，保证营养。</w:t>
      </w:r>
    </w:p>
    <w:p w14:paraId="0587A7D2">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   ▲ 4、设专门人员负责留样，每餐食品按相关规定的份量、时间、保存条件等做好留样工作。至少保存48小时，留样份量每样至少100克，在5℃以下冷藏专柜专放并按要求做好食品留样管理工作等，具体根据相关规定实施。</w:t>
      </w:r>
    </w:p>
    <w:p w14:paraId="6D96BE77">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    5、从食品原材料入手，建立食品安全追溯体系。所有肉类、蔬菜类、粮油类等由具备供应资格、信誉良好的响应服务商提供可追溯食品，不能采用散装原料，实行集中统一采购或分大类集中采购，采用无公害食品。中选服务商应加入“中山市肉类蔬菜流通追溯体系”，并要确保食品原材料进货渠道正规，服务商证件齐全。</w:t>
      </w:r>
    </w:p>
    <w:p w14:paraId="364E8D73">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6、所有食品响应服务商须经业主方审核同意，并接受业主方监管，对服务、供货质量等不能达到业主方要求的响应服务商，业主方有权提出更换，中选服务商必须配合执行。</w:t>
      </w:r>
    </w:p>
    <w:p w14:paraId="766A9F57">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    7、设置食品安全信息公示栏，公示食品安全信息，员工健康信息（健康证等）、经营主体责任人、监管部门责任人及电话、微信服务综合满意度调查或意见箱等，接受员工监督。</w:t>
      </w:r>
    </w:p>
    <w:p w14:paraId="0F3B829B">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8、业主方有权指定食品品牌、质量，中选服务商须无条件配合，部分重点食品要求如下： </w:t>
      </w:r>
    </w:p>
    <w:p w14:paraId="767A68AD">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8.1、大米、面粉质量标准：</w:t>
      </w:r>
    </w:p>
    <w:p w14:paraId="07F433D2">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不得采购有“QS”标志，须采购具有新食品生产编号的产品。标明加工厂名称、品名、生产日期、保质期或保存期，供货时的剩余保质期不少于三分之二，质量等级、产品标准号、产品合格证，质量符合大米国家标准与国家粮食卫生标准。</w:t>
      </w:r>
    </w:p>
    <w:p w14:paraId="1B48F784">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具有固有色泽和香味，无污染、无虫害，色泽、气味、口味正常，无异味或霉味（霉变），无虫蛀结块挂丝或杂质异物等。面粉类要新鲜、色泽呈现乳白色或微黄色、手感细腻、颗粒均匀，自然浓厚的麦香味，手抓后自然流出，松开手不成团，用它制成的成品和馒头有麦香味、香甜入口不粘牙，符合国家食品卫生标准。</w:t>
      </w:r>
    </w:p>
    <w:p w14:paraId="0797EFD9">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▲（3）粮食品牌参照标准：中粮、中储粮、益海嘉里集团等产品。</w:t>
      </w:r>
    </w:p>
    <w:p w14:paraId="649CC387">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 8.2食用油、酱油：</w:t>
      </w:r>
    </w:p>
    <w:p w14:paraId="01F2AC2E">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（1）不得采购有“QS”标志，须采购具有新食品生产编号的产品。外包装完好，标明品名、厂名、重量、生产日期、保质期或保存期、执行标准等，剩余保质期不少于三分之二，具有产品合格证。</w:t>
      </w:r>
    </w:p>
    <w:p w14:paraId="595807FA">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（2）必须提供进货渠道及提供当地食品卫生监督部门抽样检测报告。 </w:t>
      </w:r>
    </w:p>
    <w:p w14:paraId="0A4C9DA9">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▲（3）食油品牌参照标准：中粮、金龙鱼、鲁花等；调味类品牌参照标准：海天、李锦记、东古等。</w:t>
      </w:r>
    </w:p>
    <w:p w14:paraId="35A7BD45">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▲8.3调味料：味精、鸡精、鸡粉等建议不用或尽量少用。</w:t>
      </w:r>
    </w:p>
    <w:p w14:paraId="2BEC9C48">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8.4食盐：符合食品安全卫生标准及营养要求。</w:t>
      </w:r>
    </w:p>
    <w:p w14:paraId="4378A2AB">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8.5肉类：生鲜肉类经过屠宰卫生检疫，符合国家食品部门的有关标准，肉类保证来源于正规肉联厂，供货时提交肉联厂的验收单及当批次有效的动物检疫合格证复印件（原件备查）和分割肉凭证，鲜肉确保每日新鲜、无异味及变质。肉色根据种类的不同而呈现其特有的颜色，如猪肉鲜红色、牛羊肉深红色、鸡肉淡红色、鸭肉深红色等，且都有光泽、富有弹性，闻起来没有异味者（不得采购冷冻生肉僵尸肉）。肉制品包装完整，有完整标识，标明品名、内容物名称，重量或数量、食品添加物、制造厂商名称、地址、保存期限或保存条件、进品的还应加注进品商名称、地址等信息。保证鱼肉类每天新鲜购入及配送。</w:t>
      </w:r>
    </w:p>
    <w:p w14:paraId="568D3FAA">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8.6蔬菜：蔬菜形态饱满、色泽新鲜、无腐烂变质、无泥沙、无老梗、无老叶及无农药超标等情况。</w:t>
      </w:r>
    </w:p>
    <w:p w14:paraId="25960A4D">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8.7干货：保持其固有的鲜美味道，有干货的本味。动物类、植物类、菌类、藻类，能从味觉上分辨新鲜及优品；干爽没有霉迹；色泽鲜明，没有虫蛀与杂质。</w:t>
      </w:r>
    </w:p>
    <w:p w14:paraId="748148F9">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8.8猪、牛肉类、家禽类，肉制品，水产品须按照《中华人民共和国食品安全法》的要求提供食品生产许可证、检疫合格证明、产品合格证等资料。蔬菜类需要根据《中华人民共和国农产品质量安全法》等相关法律法规，产品必须符合安全卫生标准，蔬菜中污染物残留量、农药的最大残留限量以及其他有害物质含量都必须控制在国家规定的范围内。</w:t>
      </w:r>
    </w:p>
    <w:p w14:paraId="616FD2DB">
      <w:pPr>
        <w:spacing w:line="360" w:lineRule="auto"/>
        <w:jc w:val="center"/>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（1）生产（供应）企业资质证明（首次供应时提供）</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2"/>
        <w:gridCol w:w="6944"/>
      </w:tblGrid>
      <w:tr w14:paraId="188C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vAlign w:val="center"/>
          </w:tcPr>
          <w:p w14:paraId="2C6D9E87">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类别</w:t>
            </w:r>
          </w:p>
        </w:tc>
        <w:tc>
          <w:tcPr>
            <w:tcW w:w="6949" w:type="dxa"/>
            <w:vAlign w:val="center"/>
          </w:tcPr>
          <w:p w14:paraId="7404DCBD">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资质证明</w:t>
            </w:r>
          </w:p>
        </w:tc>
      </w:tr>
      <w:tr w14:paraId="067E0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vAlign w:val="center"/>
          </w:tcPr>
          <w:p w14:paraId="144AB56A">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畜禽冻肉类</w:t>
            </w:r>
          </w:p>
        </w:tc>
        <w:tc>
          <w:tcPr>
            <w:tcW w:w="6949" w:type="dxa"/>
            <w:vAlign w:val="center"/>
          </w:tcPr>
          <w:p w14:paraId="1CE9FB7B">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企业法人营业执照》、《动物防疫合格证》、《食品生产许可证》或《食品经营许可证》或含同类意思表述证书。如响应服务商的许可证书与营业执照合并办理的，提供扫描营业执照二维码后的有效备案信息截图。</w:t>
            </w:r>
          </w:p>
        </w:tc>
      </w:tr>
      <w:tr w14:paraId="0F8C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vAlign w:val="center"/>
          </w:tcPr>
          <w:p w14:paraId="4F402290">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肉制品</w:t>
            </w:r>
          </w:p>
        </w:tc>
        <w:tc>
          <w:tcPr>
            <w:tcW w:w="6949" w:type="dxa"/>
            <w:vAlign w:val="center"/>
          </w:tcPr>
          <w:p w14:paraId="48A94CD2">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《企业法人营业执照》、《食品生产许可证》或《食品经营许可证》或含同类意思表述证书。如响应服务商的许可证书与营业执照</w:t>
            </w:r>
          </w:p>
          <w:p w14:paraId="08A7DCC1">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合并办理的，提供扫描营业执照二维码后的有效备案信息截图。</w:t>
            </w:r>
          </w:p>
        </w:tc>
      </w:tr>
      <w:tr w14:paraId="40DF0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3" w:type="dxa"/>
            <w:vAlign w:val="center"/>
          </w:tcPr>
          <w:p w14:paraId="529118F9">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水产品</w:t>
            </w:r>
          </w:p>
        </w:tc>
        <w:tc>
          <w:tcPr>
            <w:tcW w:w="6949" w:type="dxa"/>
            <w:vAlign w:val="center"/>
          </w:tcPr>
          <w:p w14:paraId="27A7E460">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《企业法人营业执照》</w:t>
            </w:r>
          </w:p>
        </w:tc>
      </w:tr>
    </w:tbl>
    <w:p w14:paraId="00EB44E1">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（2）新鲜肉类票证要求</w:t>
      </w:r>
    </w:p>
    <w:tbl>
      <w:tblPr>
        <w:tblStyle w:val="22"/>
        <w:tblW w:w="89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7"/>
        <w:gridCol w:w="3225"/>
        <w:gridCol w:w="4425"/>
      </w:tblGrid>
      <w:tr w14:paraId="21EAC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0D5FFCAB">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货物类别</w:t>
            </w:r>
          </w:p>
        </w:tc>
        <w:tc>
          <w:tcPr>
            <w:tcW w:w="3225" w:type="dxa"/>
            <w:vAlign w:val="center"/>
          </w:tcPr>
          <w:p w14:paraId="789AFDA3">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产品票证名称</w:t>
            </w:r>
          </w:p>
        </w:tc>
        <w:tc>
          <w:tcPr>
            <w:tcW w:w="4425" w:type="dxa"/>
            <w:vAlign w:val="center"/>
          </w:tcPr>
          <w:p w14:paraId="03608D46">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验收索证要求</w:t>
            </w:r>
          </w:p>
        </w:tc>
      </w:tr>
      <w:tr w14:paraId="6CBE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restart"/>
            <w:vAlign w:val="center"/>
          </w:tcPr>
          <w:p w14:paraId="78BCBBE7">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猪肉类</w:t>
            </w:r>
          </w:p>
        </w:tc>
        <w:tc>
          <w:tcPr>
            <w:tcW w:w="3225" w:type="dxa"/>
            <w:vAlign w:val="center"/>
          </w:tcPr>
          <w:p w14:paraId="7E6B2FAB">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《动物产品检疫合格证》</w:t>
            </w:r>
          </w:p>
        </w:tc>
        <w:tc>
          <w:tcPr>
            <w:tcW w:w="4425" w:type="dxa"/>
            <w:vAlign w:val="center"/>
          </w:tcPr>
          <w:p w14:paraId="4B93C4D2">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要求有生产名称、地址、产品名称、产地和目的地，官方兽医签字、盖检验检疫专用章。</w:t>
            </w:r>
          </w:p>
        </w:tc>
      </w:tr>
      <w:tr w14:paraId="66204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Merge w:val="continue"/>
            <w:vAlign w:val="center"/>
          </w:tcPr>
          <w:p w14:paraId="7BC62BB1">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p>
        </w:tc>
        <w:tc>
          <w:tcPr>
            <w:tcW w:w="3225" w:type="dxa"/>
            <w:vAlign w:val="center"/>
          </w:tcPr>
          <w:p w14:paraId="7C2E535E">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《畜产品检验合格证》</w:t>
            </w:r>
          </w:p>
        </w:tc>
        <w:tc>
          <w:tcPr>
            <w:tcW w:w="4425" w:type="dxa"/>
            <w:vAlign w:val="center"/>
          </w:tcPr>
          <w:p w14:paraId="6B9F96C2">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有委托方、送往单位、屠宰场检验专用章、出厂时间和单号。</w:t>
            </w:r>
          </w:p>
        </w:tc>
      </w:tr>
      <w:tr w14:paraId="30667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107EAD55">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三鸟类</w:t>
            </w:r>
          </w:p>
        </w:tc>
        <w:tc>
          <w:tcPr>
            <w:tcW w:w="3225" w:type="dxa"/>
            <w:vAlign w:val="center"/>
          </w:tcPr>
          <w:p w14:paraId="242013CA">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《动物产品检疫合格证》</w:t>
            </w:r>
          </w:p>
        </w:tc>
        <w:tc>
          <w:tcPr>
            <w:tcW w:w="4425" w:type="dxa"/>
            <w:vAlign w:val="center"/>
          </w:tcPr>
          <w:p w14:paraId="0016B945">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要求有生产名称、地址、产品名称、产地和目的地，官方兽医签字、盖检验检疫专用章。</w:t>
            </w:r>
          </w:p>
        </w:tc>
      </w:tr>
      <w:tr w14:paraId="50ACA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7" w:type="dxa"/>
            <w:vAlign w:val="center"/>
          </w:tcPr>
          <w:p w14:paraId="50A59FD7">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牛肉、羊肉</w:t>
            </w:r>
          </w:p>
        </w:tc>
        <w:tc>
          <w:tcPr>
            <w:tcW w:w="3225" w:type="dxa"/>
            <w:vAlign w:val="center"/>
          </w:tcPr>
          <w:p w14:paraId="46271849">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《动物产品检疫合格证》</w:t>
            </w:r>
          </w:p>
        </w:tc>
        <w:tc>
          <w:tcPr>
            <w:tcW w:w="4425" w:type="dxa"/>
            <w:vAlign w:val="center"/>
          </w:tcPr>
          <w:p w14:paraId="14D9F392">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要求有生产名称、地址、产品名称、产地和目的地，官方兽医签字、盖检验检疫专用章。</w:t>
            </w:r>
          </w:p>
        </w:tc>
      </w:tr>
      <w:tr w14:paraId="21BB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7" w:type="dxa"/>
            <w:vAlign w:val="center"/>
          </w:tcPr>
          <w:p w14:paraId="4BA32055">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水产品</w:t>
            </w:r>
          </w:p>
        </w:tc>
        <w:tc>
          <w:tcPr>
            <w:tcW w:w="3225" w:type="dxa"/>
            <w:vAlign w:val="center"/>
          </w:tcPr>
          <w:p w14:paraId="2531A39E">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贮存地的出入库检疫证明，水产品成型标准为个体单独冷冻成型</w:t>
            </w:r>
          </w:p>
        </w:tc>
        <w:tc>
          <w:tcPr>
            <w:tcW w:w="4425" w:type="dxa"/>
            <w:vAlign w:val="center"/>
          </w:tcPr>
          <w:p w14:paraId="04759CBA">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交货时提供本批次产品的出厂（库）检验合格证，随车同行。</w:t>
            </w:r>
          </w:p>
        </w:tc>
      </w:tr>
    </w:tbl>
    <w:p w14:paraId="7C7BCA0B">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（3）蔬菜卫生质量要求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8"/>
        <w:gridCol w:w="4258"/>
      </w:tblGrid>
      <w:tr w14:paraId="4BEA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7B342F7E">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项目</w:t>
            </w:r>
          </w:p>
        </w:tc>
        <w:tc>
          <w:tcPr>
            <w:tcW w:w="4261" w:type="dxa"/>
            <w:vAlign w:val="center"/>
          </w:tcPr>
          <w:p w14:paraId="1D3FE5DE">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指标（mg/kg）</w:t>
            </w:r>
          </w:p>
        </w:tc>
      </w:tr>
      <w:tr w14:paraId="5184C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79064059">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甲胺磷 </w:t>
            </w:r>
          </w:p>
        </w:tc>
        <w:tc>
          <w:tcPr>
            <w:tcW w:w="4261" w:type="dxa"/>
            <w:vAlign w:val="center"/>
          </w:tcPr>
          <w:p w14:paraId="00780908">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不得检出 </w:t>
            </w:r>
          </w:p>
        </w:tc>
      </w:tr>
      <w:tr w14:paraId="5082E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6CDB63CF">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甲拌磷 </w:t>
            </w:r>
          </w:p>
        </w:tc>
        <w:tc>
          <w:tcPr>
            <w:tcW w:w="4261" w:type="dxa"/>
            <w:vAlign w:val="center"/>
          </w:tcPr>
          <w:p w14:paraId="3778C3E7">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不得检出</w:t>
            </w:r>
          </w:p>
        </w:tc>
      </w:tr>
      <w:tr w14:paraId="342B9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6728FC64">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氧化乐果 </w:t>
            </w:r>
          </w:p>
        </w:tc>
        <w:tc>
          <w:tcPr>
            <w:tcW w:w="4261" w:type="dxa"/>
            <w:vAlign w:val="center"/>
          </w:tcPr>
          <w:p w14:paraId="2D92D794">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不得检出</w:t>
            </w:r>
          </w:p>
        </w:tc>
      </w:tr>
      <w:tr w14:paraId="5148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3B97860E">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甲基对硫磷 </w:t>
            </w:r>
          </w:p>
        </w:tc>
        <w:tc>
          <w:tcPr>
            <w:tcW w:w="4261" w:type="dxa"/>
            <w:vAlign w:val="center"/>
          </w:tcPr>
          <w:p w14:paraId="67D3D041">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不得检出 </w:t>
            </w:r>
          </w:p>
        </w:tc>
      </w:tr>
      <w:tr w14:paraId="79C7C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229AACE6">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呋喃丹</w:t>
            </w:r>
          </w:p>
        </w:tc>
        <w:tc>
          <w:tcPr>
            <w:tcW w:w="4261" w:type="dxa"/>
            <w:vAlign w:val="center"/>
          </w:tcPr>
          <w:p w14:paraId="6E55FD33">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不得检出 </w:t>
            </w:r>
          </w:p>
        </w:tc>
      </w:tr>
      <w:tr w14:paraId="0E44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4261" w:type="dxa"/>
            <w:vAlign w:val="center"/>
          </w:tcPr>
          <w:p w14:paraId="1B4C68EC">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百菌清 </w:t>
            </w:r>
          </w:p>
        </w:tc>
        <w:tc>
          <w:tcPr>
            <w:tcW w:w="4261" w:type="dxa"/>
            <w:vAlign w:val="center"/>
          </w:tcPr>
          <w:p w14:paraId="6A8EDF51">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≤1.0</w:t>
            </w:r>
          </w:p>
        </w:tc>
      </w:tr>
      <w:tr w14:paraId="4EDD9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481768EE">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多菌灵</w:t>
            </w:r>
          </w:p>
        </w:tc>
        <w:tc>
          <w:tcPr>
            <w:tcW w:w="4261" w:type="dxa"/>
            <w:vAlign w:val="center"/>
          </w:tcPr>
          <w:p w14:paraId="1491F246">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default" w:ascii="宋体" w:hAnsi="宋体" w:eastAsia="宋体" w:cs="宋体"/>
                <w:i w:val="0"/>
                <w:iCs w:val="0"/>
                <w:caps w:val="0"/>
                <w:color w:val="auto"/>
                <w:spacing w:val="0"/>
                <w:kern w:val="0"/>
                <w:sz w:val="24"/>
                <w:szCs w:val="24"/>
                <w:shd w:val="clear" w:color="auto" w:fill="FFFFFF"/>
                <w:lang w:val="en-US" w:eastAsia="zh-CN" w:bidi="ar"/>
              </w:rPr>
              <w:t>≤0.5</w:t>
            </w:r>
          </w:p>
        </w:tc>
      </w:tr>
      <w:tr w14:paraId="01E4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48F72C29">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汞（以</w:t>
            </w:r>
            <w:r>
              <w:rPr>
                <w:rFonts w:hint="default" w:ascii="宋体" w:hAnsi="宋体" w:eastAsia="宋体" w:cs="宋体"/>
                <w:i w:val="0"/>
                <w:iCs w:val="0"/>
                <w:caps w:val="0"/>
                <w:color w:val="auto"/>
                <w:spacing w:val="0"/>
                <w:kern w:val="0"/>
                <w:sz w:val="24"/>
                <w:szCs w:val="24"/>
                <w:shd w:val="clear" w:color="auto" w:fill="FFFFFF"/>
                <w:lang w:val="en-US" w:eastAsia="zh-CN" w:bidi="ar"/>
              </w:rPr>
              <w:t>Hg</w:t>
            </w: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计） </w:t>
            </w:r>
          </w:p>
        </w:tc>
        <w:tc>
          <w:tcPr>
            <w:tcW w:w="4261" w:type="dxa"/>
            <w:vAlign w:val="center"/>
          </w:tcPr>
          <w:p w14:paraId="76B57461">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default" w:ascii="宋体" w:hAnsi="宋体" w:eastAsia="宋体" w:cs="宋体"/>
                <w:i w:val="0"/>
                <w:iCs w:val="0"/>
                <w:caps w:val="0"/>
                <w:color w:val="auto"/>
                <w:spacing w:val="0"/>
                <w:kern w:val="0"/>
                <w:sz w:val="24"/>
                <w:szCs w:val="24"/>
                <w:shd w:val="clear" w:color="auto" w:fill="FFFFFF"/>
                <w:lang w:val="en-US" w:eastAsia="zh-CN" w:bidi="ar"/>
              </w:rPr>
              <w:t>≤0.01</w:t>
            </w:r>
          </w:p>
        </w:tc>
      </w:tr>
      <w:tr w14:paraId="4854D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3FA419A4">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铅（以</w:t>
            </w:r>
            <w:r>
              <w:rPr>
                <w:rFonts w:hint="default" w:ascii="宋体" w:hAnsi="宋体" w:eastAsia="宋体" w:cs="宋体"/>
                <w:i w:val="0"/>
                <w:iCs w:val="0"/>
                <w:caps w:val="0"/>
                <w:color w:val="auto"/>
                <w:spacing w:val="0"/>
                <w:kern w:val="0"/>
                <w:sz w:val="24"/>
                <w:szCs w:val="24"/>
                <w:shd w:val="clear" w:color="auto" w:fill="FFFFFF"/>
                <w:lang w:val="en-US" w:eastAsia="zh-CN" w:bidi="ar"/>
              </w:rPr>
              <w:t>Pb</w:t>
            </w:r>
            <w:r>
              <w:rPr>
                <w:rFonts w:hint="eastAsia" w:ascii="宋体" w:hAnsi="宋体" w:eastAsia="宋体" w:cs="宋体"/>
                <w:i w:val="0"/>
                <w:iCs w:val="0"/>
                <w:caps w:val="0"/>
                <w:color w:val="auto"/>
                <w:spacing w:val="0"/>
                <w:kern w:val="0"/>
                <w:sz w:val="24"/>
                <w:szCs w:val="24"/>
                <w:shd w:val="clear" w:color="auto" w:fill="FFFFFF"/>
                <w:lang w:val="en-US" w:eastAsia="zh-CN" w:bidi="ar"/>
              </w:rPr>
              <w:t>计）</w:t>
            </w:r>
          </w:p>
        </w:tc>
        <w:tc>
          <w:tcPr>
            <w:tcW w:w="4261" w:type="dxa"/>
            <w:vAlign w:val="center"/>
          </w:tcPr>
          <w:p w14:paraId="12E09062">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default" w:ascii="宋体" w:hAnsi="宋体" w:eastAsia="宋体" w:cs="宋体"/>
                <w:i w:val="0"/>
                <w:iCs w:val="0"/>
                <w:caps w:val="0"/>
                <w:color w:val="auto"/>
                <w:spacing w:val="0"/>
                <w:kern w:val="0"/>
                <w:sz w:val="24"/>
                <w:szCs w:val="24"/>
                <w:shd w:val="clear" w:color="auto" w:fill="FFFFFF"/>
                <w:lang w:val="en-US" w:eastAsia="zh-CN" w:bidi="ar"/>
              </w:rPr>
              <w:t xml:space="preserve">≤0.2 </w:t>
            </w:r>
          </w:p>
        </w:tc>
      </w:tr>
      <w:tr w14:paraId="7181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6A4268AB">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砷（以</w:t>
            </w:r>
            <w:r>
              <w:rPr>
                <w:rFonts w:hint="default" w:ascii="宋体" w:hAnsi="宋体" w:eastAsia="宋体" w:cs="宋体"/>
                <w:i w:val="0"/>
                <w:iCs w:val="0"/>
                <w:caps w:val="0"/>
                <w:color w:val="auto"/>
                <w:spacing w:val="0"/>
                <w:kern w:val="0"/>
                <w:sz w:val="24"/>
                <w:szCs w:val="24"/>
                <w:shd w:val="clear" w:color="auto" w:fill="FFFFFF"/>
                <w:lang w:val="en-US" w:eastAsia="zh-CN" w:bidi="ar"/>
              </w:rPr>
              <w:t>As</w:t>
            </w:r>
            <w:r>
              <w:rPr>
                <w:rFonts w:hint="eastAsia" w:ascii="宋体" w:hAnsi="宋体" w:eastAsia="宋体" w:cs="宋体"/>
                <w:i w:val="0"/>
                <w:iCs w:val="0"/>
                <w:caps w:val="0"/>
                <w:color w:val="auto"/>
                <w:spacing w:val="0"/>
                <w:kern w:val="0"/>
                <w:sz w:val="24"/>
                <w:szCs w:val="24"/>
                <w:shd w:val="clear" w:color="auto" w:fill="FFFFFF"/>
                <w:lang w:val="en-US" w:eastAsia="zh-CN" w:bidi="ar"/>
              </w:rPr>
              <w:t>计）</w:t>
            </w:r>
          </w:p>
        </w:tc>
        <w:tc>
          <w:tcPr>
            <w:tcW w:w="4261" w:type="dxa"/>
            <w:vAlign w:val="center"/>
          </w:tcPr>
          <w:p w14:paraId="73423227">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default" w:ascii="宋体" w:hAnsi="宋体" w:eastAsia="宋体" w:cs="宋体"/>
                <w:i w:val="0"/>
                <w:iCs w:val="0"/>
                <w:caps w:val="0"/>
                <w:color w:val="auto"/>
                <w:spacing w:val="0"/>
                <w:kern w:val="0"/>
                <w:sz w:val="24"/>
                <w:szCs w:val="24"/>
                <w:shd w:val="clear" w:color="auto" w:fill="FFFFFF"/>
                <w:lang w:val="en-US" w:eastAsia="zh-CN" w:bidi="ar"/>
              </w:rPr>
              <w:t>≤0.5</w:t>
            </w:r>
          </w:p>
        </w:tc>
      </w:tr>
      <w:tr w14:paraId="764F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2F3D596B">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氟（以</w:t>
            </w:r>
            <w:r>
              <w:rPr>
                <w:rFonts w:hint="default" w:ascii="宋体" w:hAnsi="宋体" w:eastAsia="宋体" w:cs="宋体"/>
                <w:i w:val="0"/>
                <w:iCs w:val="0"/>
                <w:caps w:val="0"/>
                <w:color w:val="auto"/>
                <w:spacing w:val="0"/>
                <w:kern w:val="0"/>
                <w:sz w:val="24"/>
                <w:szCs w:val="24"/>
                <w:shd w:val="clear" w:color="auto" w:fill="FFFFFF"/>
                <w:lang w:val="en-US" w:eastAsia="zh-CN" w:bidi="ar"/>
              </w:rPr>
              <w:t>F</w:t>
            </w:r>
            <w:r>
              <w:rPr>
                <w:rFonts w:hint="eastAsia" w:ascii="宋体" w:hAnsi="宋体" w:eastAsia="宋体" w:cs="宋体"/>
                <w:i w:val="0"/>
                <w:iCs w:val="0"/>
                <w:caps w:val="0"/>
                <w:color w:val="auto"/>
                <w:spacing w:val="0"/>
                <w:kern w:val="0"/>
                <w:sz w:val="24"/>
                <w:szCs w:val="24"/>
                <w:shd w:val="clear" w:color="auto" w:fill="FFFFFF"/>
                <w:lang w:val="en-US" w:eastAsia="zh-CN" w:bidi="ar"/>
              </w:rPr>
              <w:t>计）</w:t>
            </w:r>
          </w:p>
        </w:tc>
        <w:tc>
          <w:tcPr>
            <w:tcW w:w="4261" w:type="dxa"/>
            <w:vAlign w:val="center"/>
          </w:tcPr>
          <w:p w14:paraId="4482D12F">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default" w:ascii="宋体" w:hAnsi="宋体" w:eastAsia="宋体" w:cs="宋体"/>
                <w:i w:val="0"/>
                <w:iCs w:val="0"/>
                <w:caps w:val="0"/>
                <w:color w:val="auto"/>
                <w:spacing w:val="0"/>
                <w:kern w:val="0"/>
                <w:sz w:val="24"/>
                <w:szCs w:val="24"/>
                <w:shd w:val="clear" w:color="auto" w:fill="FFFFFF"/>
                <w:lang w:val="en-US" w:eastAsia="zh-CN" w:bidi="ar"/>
              </w:rPr>
              <w:t>≤0.5</w:t>
            </w:r>
          </w:p>
        </w:tc>
      </w:tr>
      <w:tr w14:paraId="1388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1F9770C6">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硝酸盐（以</w:t>
            </w:r>
            <w:r>
              <w:rPr>
                <w:rFonts w:hint="default" w:ascii="宋体" w:hAnsi="宋体" w:eastAsia="宋体" w:cs="宋体"/>
                <w:i w:val="0"/>
                <w:iCs w:val="0"/>
                <w:caps w:val="0"/>
                <w:color w:val="auto"/>
                <w:spacing w:val="0"/>
                <w:kern w:val="0"/>
                <w:sz w:val="24"/>
                <w:szCs w:val="24"/>
                <w:shd w:val="clear" w:color="auto" w:fill="FFFFFF"/>
                <w:lang w:val="en-US" w:eastAsia="zh-CN" w:bidi="ar"/>
              </w:rPr>
              <w:t>NaNO3</w:t>
            </w:r>
            <w:r>
              <w:rPr>
                <w:rFonts w:hint="eastAsia" w:ascii="宋体" w:hAnsi="宋体" w:eastAsia="宋体" w:cs="宋体"/>
                <w:i w:val="0"/>
                <w:iCs w:val="0"/>
                <w:caps w:val="0"/>
                <w:color w:val="auto"/>
                <w:spacing w:val="0"/>
                <w:kern w:val="0"/>
                <w:sz w:val="24"/>
                <w:szCs w:val="24"/>
                <w:shd w:val="clear" w:color="auto" w:fill="FFFFFF"/>
                <w:lang w:val="en-US" w:eastAsia="zh-CN" w:bidi="ar"/>
              </w:rPr>
              <w:t>计）</w:t>
            </w:r>
          </w:p>
        </w:tc>
        <w:tc>
          <w:tcPr>
            <w:tcW w:w="4261" w:type="dxa"/>
            <w:vAlign w:val="center"/>
          </w:tcPr>
          <w:p w14:paraId="65509888">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瓜果类</w:t>
            </w:r>
            <w:r>
              <w:rPr>
                <w:rFonts w:hint="default" w:ascii="宋体" w:hAnsi="宋体" w:eastAsia="宋体" w:cs="宋体"/>
                <w:i w:val="0"/>
                <w:iCs w:val="0"/>
                <w:caps w:val="0"/>
                <w:color w:val="auto"/>
                <w:spacing w:val="0"/>
                <w:kern w:val="0"/>
                <w:sz w:val="24"/>
                <w:szCs w:val="24"/>
                <w:shd w:val="clear" w:color="auto" w:fill="FFFFFF"/>
                <w:lang w:val="en-US" w:eastAsia="zh-CN" w:bidi="ar"/>
              </w:rPr>
              <w:t>≤600</w:t>
            </w:r>
            <w:r>
              <w:rPr>
                <w:rFonts w:hint="eastAsia" w:ascii="宋体" w:hAnsi="宋体" w:eastAsia="宋体" w:cs="宋体"/>
                <w:i w:val="0"/>
                <w:iCs w:val="0"/>
                <w:caps w:val="0"/>
                <w:color w:val="auto"/>
                <w:spacing w:val="0"/>
                <w:kern w:val="0"/>
                <w:sz w:val="24"/>
                <w:szCs w:val="24"/>
                <w:shd w:val="clear" w:color="auto" w:fill="FFFFFF"/>
                <w:lang w:val="en-US" w:eastAsia="zh-CN" w:bidi="ar"/>
              </w:rPr>
              <w:t>；叶菜根茎类</w:t>
            </w:r>
            <w:r>
              <w:rPr>
                <w:rFonts w:hint="default" w:ascii="宋体" w:hAnsi="宋体" w:eastAsia="宋体" w:cs="宋体"/>
                <w:i w:val="0"/>
                <w:iCs w:val="0"/>
                <w:caps w:val="0"/>
                <w:color w:val="auto"/>
                <w:spacing w:val="0"/>
                <w:kern w:val="0"/>
                <w:sz w:val="24"/>
                <w:szCs w:val="24"/>
                <w:shd w:val="clear" w:color="auto" w:fill="FFFFFF"/>
                <w:lang w:val="en-US" w:eastAsia="zh-CN" w:bidi="ar"/>
              </w:rPr>
              <w:t xml:space="preserve">≤1200 </w:t>
            </w:r>
          </w:p>
        </w:tc>
      </w:tr>
      <w:tr w14:paraId="31A0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01F1B638">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亚硝酸盐（以</w:t>
            </w:r>
            <w:r>
              <w:rPr>
                <w:rFonts w:hint="default" w:ascii="宋体" w:hAnsi="宋体" w:eastAsia="宋体" w:cs="宋体"/>
                <w:i w:val="0"/>
                <w:iCs w:val="0"/>
                <w:caps w:val="0"/>
                <w:color w:val="auto"/>
                <w:spacing w:val="0"/>
                <w:kern w:val="0"/>
                <w:sz w:val="24"/>
                <w:szCs w:val="24"/>
                <w:shd w:val="clear" w:color="auto" w:fill="FFFFFF"/>
                <w:lang w:val="en-US" w:eastAsia="zh-CN" w:bidi="ar"/>
              </w:rPr>
              <w:t>NaNO2</w:t>
            </w:r>
            <w:r>
              <w:rPr>
                <w:rFonts w:hint="eastAsia" w:ascii="宋体" w:hAnsi="宋体" w:eastAsia="宋体" w:cs="宋体"/>
                <w:i w:val="0"/>
                <w:iCs w:val="0"/>
                <w:caps w:val="0"/>
                <w:color w:val="auto"/>
                <w:spacing w:val="0"/>
                <w:kern w:val="0"/>
                <w:sz w:val="24"/>
                <w:szCs w:val="24"/>
                <w:shd w:val="clear" w:color="auto" w:fill="FFFFFF"/>
                <w:lang w:val="en-US" w:eastAsia="zh-CN" w:bidi="ar"/>
              </w:rPr>
              <w:t>计）</w:t>
            </w:r>
          </w:p>
        </w:tc>
        <w:tc>
          <w:tcPr>
            <w:tcW w:w="4261" w:type="dxa"/>
            <w:vAlign w:val="center"/>
          </w:tcPr>
          <w:p w14:paraId="62EFB3D4">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i w:val="0"/>
                <w:iCs w:val="0"/>
                <w:caps w:val="0"/>
                <w:color w:val="auto"/>
                <w:spacing w:val="0"/>
                <w:kern w:val="0"/>
                <w:sz w:val="24"/>
                <w:szCs w:val="24"/>
                <w:shd w:val="clear" w:color="auto" w:fill="FFFFFF"/>
                <w:lang w:val="en-US" w:eastAsia="zh-CN" w:bidi="ar"/>
              </w:rPr>
            </w:pPr>
            <w:r>
              <w:rPr>
                <w:rFonts w:hint="default" w:ascii="宋体" w:hAnsi="宋体" w:eastAsia="宋体" w:cs="宋体"/>
                <w:i w:val="0"/>
                <w:iCs w:val="0"/>
                <w:caps w:val="0"/>
                <w:color w:val="auto"/>
                <w:spacing w:val="0"/>
                <w:kern w:val="0"/>
                <w:sz w:val="24"/>
                <w:szCs w:val="24"/>
                <w:shd w:val="clear" w:color="auto" w:fill="FFFFFF"/>
                <w:lang w:val="en-US" w:eastAsia="zh-CN" w:bidi="ar"/>
              </w:rPr>
              <w:t>≤4</w:t>
            </w:r>
          </w:p>
        </w:tc>
      </w:tr>
      <w:tr w14:paraId="1AB1F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522" w:type="dxa"/>
            <w:gridSpan w:val="2"/>
            <w:vAlign w:val="center"/>
          </w:tcPr>
          <w:p w14:paraId="45F898A4">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color w:val="auto"/>
                <w:highlight w:val="none"/>
                <w:vertAlign w:val="baseline"/>
                <w:lang w:val="en-US" w:eastAsia="zh-CN"/>
              </w:rPr>
            </w:pPr>
            <w:r>
              <w:rPr>
                <w:rFonts w:hint="eastAsia" w:ascii="宋体" w:hAnsi="宋体" w:eastAsia="宋体" w:cs="宋体"/>
                <w:i w:val="0"/>
                <w:iCs w:val="0"/>
                <w:caps w:val="0"/>
                <w:color w:val="auto"/>
                <w:spacing w:val="0"/>
                <w:kern w:val="0"/>
                <w:sz w:val="24"/>
                <w:szCs w:val="24"/>
                <w:shd w:val="clear" w:color="auto" w:fill="FFFFFF"/>
                <w:lang w:val="en-US" w:eastAsia="zh-CN" w:bidi="ar"/>
              </w:rPr>
              <w:t>卫生质量指标，应符合我国无公害蔬菜的卫生指标规定</w:t>
            </w:r>
          </w:p>
        </w:tc>
      </w:tr>
    </w:tbl>
    <w:p w14:paraId="0B6DFD41">
      <w:pPr>
        <w:tabs>
          <w:tab w:val="left" w:pos="1050"/>
          <w:tab w:val="left" w:pos="1155"/>
        </w:tabs>
        <w:autoSpaceDE w:val="0"/>
        <w:autoSpaceDN w:val="0"/>
        <w:adjustRightInd w:val="0"/>
        <w:snapToGrid w:val="0"/>
        <w:spacing w:line="360" w:lineRule="auto"/>
        <w:textAlignment w:val="baseline"/>
        <w:rPr>
          <w:rFonts w:hint="eastAsia" w:ascii="宋体" w:hAnsi="宋体" w:cs="SimSun-Identity-H"/>
          <w:b/>
          <w:bCs/>
          <w:color w:val="auto"/>
          <w:kern w:val="0"/>
          <w:szCs w:val="21"/>
          <w:highlight w:val="none"/>
        </w:rPr>
      </w:pPr>
    </w:p>
    <w:p w14:paraId="6EF74205">
      <w:pPr>
        <w:keepNext w:val="0"/>
        <w:keepLines w:val="0"/>
        <w:pageBreakBefore w:val="0"/>
        <w:kinsoku/>
        <w:wordWrap/>
        <w:overflowPunct/>
        <w:topLinePunct w:val="0"/>
        <w:autoSpaceDE w:val="0"/>
        <w:autoSpaceDN w:val="0"/>
        <w:bidi w:val="0"/>
        <w:adjustRightInd w:val="0"/>
        <w:snapToGrid w:val="0"/>
        <w:spacing w:line="360" w:lineRule="auto"/>
        <w:rPr>
          <w:rFonts w:hint="eastAsia" w:ascii="宋体" w:hAnsi="宋体" w:eastAsia="宋体" w:cs="宋体"/>
          <w:b/>
          <w:bCs/>
          <w:color w:val="auto"/>
          <w:sz w:val="28"/>
          <w:szCs w:val="28"/>
          <w:shd w:val="clear" w:color="auto" w:fill="FFFFFF"/>
          <w:lang w:val="en-US" w:eastAsia="zh-CN"/>
        </w:rPr>
      </w:pPr>
    </w:p>
    <w:p w14:paraId="462D7F4A">
      <w:pPr>
        <w:keepNext w:val="0"/>
        <w:keepLines w:val="0"/>
        <w:pageBreakBefore w:val="0"/>
        <w:widowControl w:val="0"/>
        <w:kinsoku/>
        <w:wordWrap/>
        <w:overflowPunct/>
        <w:topLinePunct w:val="0"/>
        <w:autoSpaceDE w:val="0"/>
        <w:autoSpaceDN w:val="0"/>
        <w:bidi w:val="0"/>
        <w:adjustRightInd w:val="0"/>
        <w:snapToGrid w:val="0"/>
        <w:spacing w:line="360" w:lineRule="auto"/>
        <w:ind w:firstLine="562" w:firstLineChars="200"/>
        <w:textAlignment w:val="auto"/>
        <w:rPr>
          <w:rFonts w:ascii="宋体" w:hAnsi="宋体" w:eastAsia="宋体" w:cs="宋体"/>
          <w:color w:val="auto"/>
          <w:sz w:val="28"/>
          <w:szCs w:val="28"/>
        </w:rPr>
      </w:pPr>
      <w:r>
        <w:rPr>
          <w:rFonts w:hint="eastAsia" w:ascii="宋体" w:hAnsi="宋体" w:eastAsia="宋体" w:cs="宋体"/>
          <w:b/>
          <w:bCs/>
          <w:color w:val="auto"/>
          <w:sz w:val="28"/>
          <w:szCs w:val="28"/>
          <w:shd w:val="clear" w:color="auto" w:fill="FFFFFF"/>
          <w:lang w:val="en-US" w:eastAsia="zh-CN"/>
        </w:rPr>
        <w:t>六</w:t>
      </w:r>
      <w:r>
        <w:rPr>
          <w:rFonts w:hint="eastAsia" w:ascii="宋体" w:hAnsi="宋体" w:eastAsia="宋体" w:cs="宋体"/>
          <w:b/>
          <w:bCs/>
          <w:color w:val="auto"/>
          <w:sz w:val="28"/>
          <w:szCs w:val="28"/>
          <w:shd w:val="clear" w:color="auto" w:fill="FFFFFF"/>
        </w:rPr>
        <w:t>、餐具、相关设备要求</w:t>
      </w:r>
    </w:p>
    <w:p w14:paraId="457C04CA">
      <w:pPr>
        <w:spacing w:line="360" w:lineRule="auto"/>
        <w:ind w:firstLine="42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cs="SimSun-Identity-H"/>
          <w:color w:val="auto"/>
          <w:kern w:val="0"/>
          <w:szCs w:val="21"/>
          <w:highlight w:val="none"/>
        </w:rPr>
        <w:t xml:space="preserve">  </w:t>
      </w: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 1、操作台面、货物架、调料台、蒸烤箱等使用无毒无害材质制作，并符合国家食(饮)具卫生标准等相关规定。</w:t>
      </w:r>
    </w:p>
    <w:p w14:paraId="2E7F405E">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    2、生产、运输及院内食品分送场所的设施与卫生条件符合国家食品卫生法规要求；餐具符合国家食品卫生标准，使用不锈钢筷子、餐盘、蒸笼等，所有不锈钢筷子、餐盘等餐具必须经高温消毒柜消毒后才能使用。</w:t>
      </w:r>
    </w:p>
    <w:p w14:paraId="76F8A758">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    3、冰箱、冰柜所有食物须分开分类放置，熟食品须专用冰箱放置，其他的严格按食品种类分隔的标准独立存放（生食品、半成品、干货类独立），所有存储容器外均贴上食物资料标签。</w:t>
      </w:r>
    </w:p>
    <w:p w14:paraId="325A38A2">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    4、严格区别使用生食、熟食的刀具、砧板，必须分开专用专位放置，并有一定距离。</w:t>
      </w:r>
    </w:p>
    <w:p w14:paraId="3D3B43A7">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    5、餐具、设施做好标识，并分类规范存放。</w:t>
      </w:r>
    </w:p>
    <w:p w14:paraId="4F167565">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    6、洗洁精使用要求用原瓶装包装，无毒、安全。</w:t>
      </w:r>
    </w:p>
    <w:p w14:paraId="0C78EC6D">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lang w:val="en-US" w:eastAsia="zh-CN"/>
        </w:rPr>
        <w:t>七</w:t>
      </w:r>
      <w:r>
        <w:rPr>
          <w:rFonts w:hint="eastAsia" w:ascii="宋体" w:hAnsi="宋体" w:eastAsia="宋体" w:cs="宋体"/>
          <w:b/>
          <w:bCs/>
          <w:color w:val="auto"/>
          <w:sz w:val="28"/>
          <w:szCs w:val="28"/>
          <w:shd w:val="clear" w:color="auto" w:fill="FFFFFF"/>
        </w:rPr>
        <w:t>、</w:t>
      </w:r>
      <w:r>
        <w:rPr>
          <w:rFonts w:hint="eastAsia" w:ascii="宋体" w:hAnsi="宋体" w:eastAsia="宋体" w:cs="宋体"/>
          <w:b/>
          <w:bCs/>
          <w:color w:val="auto"/>
          <w:sz w:val="28"/>
          <w:szCs w:val="28"/>
          <w:shd w:val="clear" w:color="auto" w:fill="FFFFFF"/>
          <w:lang w:val="en-US" w:eastAsia="zh-CN"/>
        </w:rPr>
        <w:t>卫生安全要求</w:t>
      </w:r>
    </w:p>
    <w:p w14:paraId="18A04CC7">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 1、饭堂的卫生防疫、就餐环境和制作的食品及送餐等服务必须符合《食品卫生法》、国家相关的食品卫生标准及本院《饭堂管理制度》要求。</w:t>
      </w:r>
    </w:p>
    <w:p w14:paraId="1761A18B">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    2、严格做好环境卫生工作（包括厨房、仓库、配餐间、就餐区域等），搞好室内外环境清洁和消毒工作，清除卫生死角，保持墙壁、墙裙、天花板、地面、炉灶、油烟罩/滤网、容器用具、案板工具等整洁、光亮、干燥、整齐、卫生、无油迹，通风、排烟、排水良好，有清洗记录。</w:t>
      </w:r>
    </w:p>
    <w:p w14:paraId="789ADDCD">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    3、一餐一打扫，一周一大扫，平面天天扫，立面周周搞，保持饭堂卫生、整洁。中选服务商自行负责承包区域（含阳台、过道、楼梯、厕所、下水道、绿化带等）的环境卫生。</w:t>
      </w:r>
    </w:p>
    <w:p w14:paraId="4EAC3627">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    4、操作台面、货物架、调料台、蒸烤箱等设备，做到整洁无杂物，无污渍、无灰尘，玻璃罩具光洁明亮。</w:t>
      </w:r>
    </w:p>
    <w:p w14:paraId="117FFA9D">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    5、擦碗盘与清洁抹布专用，并做好区分，保持干净。</w:t>
      </w:r>
    </w:p>
    <w:p w14:paraId="7578D6F1">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    6、每次餐前、餐中、餐后应及时擦洗饭桌上的残渣、剩饭、油污。餐厨产生垃圾由中选服务商按环保要求每天自行处理。</w:t>
      </w:r>
    </w:p>
    <w:p w14:paraId="688CB5F7">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7、专人负责餐具的清洗和消毒，餐具使用前必须经过彻底清洁消毒，并符合国家食(饮)具消毒卫生标准等相关规定。</w:t>
      </w:r>
    </w:p>
    <w:p w14:paraId="6642B185">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 ★8、及时疏通和清理油烟系统、隔油池、下水道确保畅通干净，加强灭蝇、灭蟑螂、灭鼠等措施，定期灭杀四害，防蝇、防鼠、防尘设备齐全、有效，环境符合业主方及上级管理部门的要求，合同签订后10天内列出具体实施方案给业主方，所有卫生防疫费用由中选服务商自行承担。如检查发现厨房有活动性苍蝇、蟑螂、老鼠，视情况轻重扣罚，并限期当天整改，如多次发现，业主方有权终止合同处理。</w:t>
      </w:r>
    </w:p>
    <w:p w14:paraId="10AD5614">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9、排烟设施每周至少一次表面清洗，每年至少两次内部清洗，确保无油渍，避免安全隐患。做好清洗记录、拍照，资料存档，并接受业主方检查。</w:t>
      </w:r>
    </w:p>
    <w:p w14:paraId="23149E82">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10、上岗员工应保持良好的个人卫生习惯，按规定规范穿戴清洁的工服、工牌、帽子、口罩等。</w:t>
      </w:r>
    </w:p>
    <w:p w14:paraId="1FFC2CF3">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8"/>
          <w:szCs w:val="28"/>
          <w:shd w:val="clear" w:color="auto" w:fill="FFFFFF"/>
        </w:rPr>
      </w:pPr>
      <w:r>
        <w:rPr>
          <w:rFonts w:hint="eastAsia" w:ascii="宋体" w:hAnsi="宋体" w:eastAsia="宋体" w:cs="宋体"/>
          <w:b/>
          <w:bCs/>
          <w:color w:val="auto"/>
          <w:sz w:val="28"/>
          <w:szCs w:val="28"/>
          <w:shd w:val="clear" w:color="auto" w:fill="FFFFFF"/>
          <w:lang w:val="en-US" w:eastAsia="zh-CN"/>
        </w:rPr>
        <w:t>八</w:t>
      </w:r>
      <w:r>
        <w:rPr>
          <w:rFonts w:hint="eastAsia" w:ascii="宋体" w:hAnsi="宋体" w:eastAsia="宋体" w:cs="宋体"/>
          <w:b/>
          <w:bCs/>
          <w:color w:val="auto"/>
          <w:sz w:val="28"/>
          <w:szCs w:val="28"/>
          <w:shd w:val="clear" w:color="auto" w:fill="FFFFFF"/>
        </w:rPr>
        <w:t>、项目的经营管理要求：</w:t>
      </w:r>
    </w:p>
    <w:p w14:paraId="62B46C85">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1、中选服务商必须持有效的《营业执照》、《食品药品经营许可证》等一切必须具有的证件方可开业，且营业范围包括餐饮管理或饮食管理或食品经营管理。</w:t>
      </w:r>
    </w:p>
    <w:p w14:paraId="7C6A2B82">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2、拟委派在本项目的负责人应为具有丰富从事集体食堂管理经验或从事医院集体食堂管理经验者。（提供相关证明材料）。</w:t>
      </w:r>
    </w:p>
    <w:p w14:paraId="2724EC43">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3、项目人员管理要求：</w:t>
      </w:r>
    </w:p>
    <w:p w14:paraId="06525640">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★（1）拟委派本项目负责人必须配有高级或以上的《餐饮服务食品安全管理员证》的管理员（投标文件提供证书复印件，投标时提供证书原件核查）。</w:t>
      </w:r>
    </w:p>
    <w:p w14:paraId="184018D7">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中选服务商应确保餐饮服务项目员工的稳定性以保证项目的服务质量。未经业主方同意，中选服务商不得随意更换本项目负责人。因故需要更换时，中选服务商应至少提前一周向业主方主管部门提出书面申请，并经业主方主管部门同意后方可更换。</w:t>
      </w:r>
    </w:p>
    <w:p w14:paraId="0D4DDB2B">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项目负责人应坚守岗位，每年在正常工作时间离开医院累积不得超过10天。如因故需临时离开医院或休息1天以内的（含1天），中选服务商应以电话、微信等方式向业主方主管部门请假，离开医院1天以上的（不含1天），应向业主方主管部门提交书面请假单，请假获批离开医院前应提前安排好现场工作。</w:t>
      </w:r>
    </w:p>
    <w:p w14:paraId="7F0BAF18">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4）如中选服务商委派的项目负责人不符合要求的（有事实依据证明不能胜任管理岗位），业主方有权要求中选服务商更换该项目管理人员至合格为止。中选服务商接到业主方书面换人通知后，应在15天内更换合格的项目管理人员到位，逾期不更换或更换的项目管理人员仍不符合要求的，业主方有权单方终止合同。</w:t>
      </w:r>
    </w:p>
    <w:p w14:paraId="745162A3">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5）项目负责人应每天到现场跟进每个岗位员工的工作情况，及时解决员工在工作中遇到的困难或问题，并与所在科室沟通协调和及时反馈。每周、每月进行饭堂卫生管理、服务质量自查，并记录在案，做好资料归档整理，服务质量不符合要求的实行持续改进和限期整改。</w:t>
      </w:r>
    </w:p>
    <w:p w14:paraId="5E9CDC51">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6）中选服务商应确保各岗位员工的相对固定，以保证现场服务质量。如有员工离职、休息或生病等原因导致现场员工变动的，项目负责人应提前安排好岗位工作。所有新上岗人员至少进行2天培训并通过考核后方可上岗，新上岗员工的工作，特别是涉及对外窗口的（如收银），项目负责人应加强指导和监督。因新上岗人员服务质量不合格，业主方有权视问题的严重情况，对中选服务商进行1000-2000元的扣罚。</w:t>
      </w:r>
    </w:p>
    <w:p w14:paraId="517E84C0">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★（7）中选服务商应保证员工每月正常休息时间，确保员工的身心健康。</w:t>
      </w:r>
    </w:p>
    <w:p w14:paraId="42AAAC94">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8）中选服务商的员工应严格遵守医院各项规章制度、疫情管控措施及操作规程，员工上班期间穿着统一的工作服、规范佩戴帽子、口罩，佩戴工牌，仪表、仪容整洁。上班时间不得穿短裤、背心、睡衣、拖鞋、高跟鞋等。</w:t>
      </w:r>
    </w:p>
    <w:p w14:paraId="1BB33E04">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（9）中选服务商的员工应接受业主方的监督和管理，必须使用文明用语，做到文明服务，礼貌待人。工作认真、责任心强，尊重顾客，中选服务商的员工严禁将本人持有的门禁卡、工牌、饭卡借给他人使用。</w:t>
      </w:r>
    </w:p>
    <w:p w14:paraId="3C4F4AF7">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（10）中选服务商的员工严禁聚众聊天、吵闹、打架、拉帮结派、聚集赌博、喝酒、煽动闹事等不良行为，此等行为产生的一切后果及责任由中选服务商承担。</w:t>
      </w:r>
    </w:p>
    <w:p w14:paraId="436EA758">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（11）不在岗员工不得在医院内逗留、留宿和招揽私活等行为，严禁将家属、朋友等无关人员带到工作场所。</w:t>
      </w:r>
    </w:p>
    <w:p w14:paraId="299063C0">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12）中选服务商的员工应自觉维护医院信誉，爱护医院公物，节约用水、用电；不得私自使用医院各类设备设施，不得将医院的财物（包括开水、纸皮、胶瓶等废品）带离医院，严禁擅自偷窃、倒卖医院财物、废品和饭菜等，严禁违规收集和买卖医疗废物，否则将视为盗窃交由公安部门处置。</w:t>
      </w:r>
    </w:p>
    <w:p w14:paraId="23CC019F">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13）中选服务商的员工上班期间应坚守岗位，不得迟到、早退，不得脱岗、串岗，不得擅自离开岗位（如因临时有事离开需要向项目负责人请假，并安排有人顶岗后方可离开，未经项目负责人批准私自离岗的按缺岗处理。</w:t>
      </w:r>
    </w:p>
    <w:p w14:paraId="3B609A33">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14）中选服务商应制订员工的培训计划并实施。内容包括但不限于操作流程、食品安全，消防安全、卫生知识、疫情防控相关知识等，每月对全体员工培训不少于两次，使员工熟练掌握各项专业技能和提高个人素养等。中选服务商应建立员工培训档案并做好记录，培训照片存档备查。</w:t>
      </w:r>
    </w:p>
    <w:p w14:paraId="39D872FF">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★4、</w:t>
      </w:r>
      <w:r>
        <w:rPr>
          <w:rFonts w:hint="eastAsia" w:ascii="宋体" w:hAnsi="宋体" w:eastAsia="宋体" w:cs="宋体"/>
          <w:b/>
          <w:bCs/>
          <w:i w:val="0"/>
          <w:iCs w:val="0"/>
          <w:caps w:val="0"/>
          <w:color w:val="auto"/>
          <w:spacing w:val="0"/>
          <w:kern w:val="0"/>
          <w:sz w:val="24"/>
          <w:szCs w:val="24"/>
          <w:shd w:val="clear" w:color="auto" w:fill="FFFFFF"/>
          <w:lang w:val="zh-CN" w:eastAsia="zh-CN" w:bidi="ar"/>
        </w:rPr>
        <w:t>中选服务商须按</w:t>
      </w:r>
      <w:r>
        <w:rPr>
          <w:rFonts w:hint="eastAsia" w:ascii="宋体" w:hAnsi="宋体" w:eastAsia="宋体" w:cs="宋体"/>
          <w:b/>
          <w:bCs/>
          <w:i w:val="0"/>
          <w:iCs w:val="0"/>
          <w:caps w:val="0"/>
          <w:color w:val="auto"/>
          <w:spacing w:val="0"/>
          <w:kern w:val="0"/>
          <w:sz w:val="24"/>
          <w:szCs w:val="24"/>
          <w:shd w:val="clear" w:color="auto" w:fill="FFFFFF"/>
          <w:lang w:val="en-US" w:eastAsia="zh-CN" w:bidi="ar"/>
        </w:rPr>
        <w:t>日均</w:t>
      </w:r>
      <w:r>
        <w:rPr>
          <w:rFonts w:hint="eastAsia" w:ascii="宋体" w:hAnsi="宋体" w:eastAsia="宋体" w:cs="宋体"/>
          <w:b/>
          <w:bCs/>
          <w:i w:val="0"/>
          <w:iCs w:val="0"/>
          <w:caps w:val="0"/>
          <w:color w:val="auto"/>
          <w:spacing w:val="0"/>
          <w:kern w:val="0"/>
          <w:sz w:val="24"/>
          <w:szCs w:val="24"/>
          <w:shd w:val="clear" w:color="auto" w:fill="FFFFFF"/>
          <w:lang w:val="zh-CN" w:eastAsia="zh-CN" w:bidi="ar"/>
        </w:rPr>
        <w:t>就餐</w:t>
      </w:r>
      <w:r>
        <w:rPr>
          <w:rFonts w:hint="eastAsia" w:ascii="宋体" w:hAnsi="宋体" w:eastAsia="宋体" w:cs="宋体"/>
          <w:b/>
          <w:bCs/>
          <w:i w:val="0"/>
          <w:iCs w:val="0"/>
          <w:caps w:val="0"/>
          <w:color w:val="auto"/>
          <w:spacing w:val="0"/>
          <w:kern w:val="0"/>
          <w:sz w:val="24"/>
          <w:szCs w:val="24"/>
          <w:shd w:val="clear" w:color="auto" w:fill="FFFFFF"/>
          <w:lang w:val="en-US" w:eastAsia="zh-CN" w:bidi="ar"/>
        </w:rPr>
        <w:t>人数至少40</w:t>
      </w:r>
      <w:r>
        <w:rPr>
          <w:rFonts w:hint="eastAsia" w:ascii="宋体" w:hAnsi="宋体" w:eastAsia="宋体" w:cs="宋体"/>
          <w:b/>
          <w:bCs/>
          <w:i w:val="0"/>
          <w:iCs w:val="0"/>
          <w:caps w:val="0"/>
          <w:color w:val="auto"/>
          <w:spacing w:val="0"/>
          <w:kern w:val="0"/>
          <w:sz w:val="24"/>
          <w:szCs w:val="24"/>
          <w:shd w:val="clear" w:color="auto" w:fill="FFFFFF"/>
          <w:lang w:val="zh-CN" w:eastAsia="zh-CN" w:bidi="ar"/>
        </w:rPr>
        <w:t>:</w:t>
      </w:r>
      <w:r>
        <w:rPr>
          <w:rFonts w:hint="eastAsia" w:ascii="宋体" w:hAnsi="宋体" w:eastAsia="宋体" w:cs="宋体"/>
          <w:b/>
          <w:bCs/>
          <w:i w:val="0"/>
          <w:iCs w:val="0"/>
          <w:caps w:val="0"/>
          <w:color w:val="auto"/>
          <w:spacing w:val="0"/>
          <w:kern w:val="0"/>
          <w:sz w:val="24"/>
          <w:szCs w:val="24"/>
          <w:shd w:val="clear" w:color="auto" w:fill="FFFFFF"/>
          <w:lang w:val="en-US" w:eastAsia="zh-CN" w:bidi="ar"/>
        </w:rPr>
        <w:t>1</w:t>
      </w:r>
      <w:r>
        <w:rPr>
          <w:rFonts w:hint="eastAsia" w:ascii="宋体" w:hAnsi="宋体" w:eastAsia="宋体" w:cs="宋体"/>
          <w:b/>
          <w:bCs/>
          <w:i w:val="0"/>
          <w:iCs w:val="0"/>
          <w:caps w:val="0"/>
          <w:color w:val="auto"/>
          <w:spacing w:val="0"/>
          <w:kern w:val="0"/>
          <w:sz w:val="24"/>
          <w:szCs w:val="24"/>
          <w:shd w:val="clear" w:color="auto" w:fill="FFFFFF"/>
          <w:lang w:val="zh-CN" w:eastAsia="zh-CN" w:bidi="ar"/>
        </w:rPr>
        <w:t xml:space="preserve"> 的比例配足配齐专业技术人员（包括但不仅限于厨师、点心师、营养师、管理人员、</w:t>
      </w:r>
      <w:r>
        <w:rPr>
          <w:rFonts w:hint="eastAsia" w:ascii="宋体" w:hAnsi="宋体" w:eastAsia="宋体" w:cs="宋体"/>
          <w:b/>
          <w:bCs/>
          <w:i w:val="0"/>
          <w:iCs w:val="0"/>
          <w:caps w:val="0"/>
          <w:color w:val="auto"/>
          <w:spacing w:val="0"/>
          <w:kern w:val="0"/>
          <w:sz w:val="24"/>
          <w:szCs w:val="24"/>
          <w:shd w:val="clear" w:color="auto" w:fill="FFFFFF"/>
          <w:lang w:val="en-US" w:eastAsia="zh-CN" w:bidi="ar"/>
        </w:rPr>
        <w:t>送餐员等工作人员</w:t>
      </w:r>
      <w:r>
        <w:rPr>
          <w:rFonts w:hint="eastAsia" w:ascii="宋体" w:hAnsi="宋体" w:eastAsia="宋体" w:cs="宋体"/>
          <w:b/>
          <w:bCs/>
          <w:i w:val="0"/>
          <w:iCs w:val="0"/>
          <w:caps w:val="0"/>
          <w:color w:val="auto"/>
          <w:spacing w:val="0"/>
          <w:kern w:val="0"/>
          <w:sz w:val="24"/>
          <w:szCs w:val="24"/>
          <w:shd w:val="clear" w:color="auto" w:fill="FFFFFF"/>
          <w:lang w:val="zh-CN" w:eastAsia="zh-CN" w:bidi="ar"/>
        </w:rPr>
        <w:t>）的人数，以确保管理、服务到位和供餐速度。</w:t>
      </w:r>
      <w:r>
        <w:rPr>
          <w:rFonts w:hint="eastAsia" w:ascii="宋体" w:hAnsi="宋体" w:eastAsia="宋体" w:cs="宋体"/>
          <w:b/>
          <w:bCs/>
          <w:i w:val="0"/>
          <w:iCs w:val="0"/>
          <w:caps w:val="0"/>
          <w:color w:val="auto"/>
          <w:spacing w:val="0"/>
          <w:kern w:val="0"/>
          <w:sz w:val="24"/>
          <w:szCs w:val="24"/>
          <w:shd w:val="clear" w:color="auto" w:fill="FFFFFF"/>
          <w:lang w:val="en-US" w:eastAsia="zh-CN" w:bidi="ar"/>
        </w:rPr>
        <w:t>如业主方根据实际情况要求增加专业技术人员的，中选服务商应按照业主方要求进行配备。</w:t>
      </w:r>
      <w:r>
        <w:rPr>
          <w:rFonts w:hint="eastAsia" w:ascii="宋体" w:hAnsi="宋体" w:eastAsia="宋体" w:cs="宋体"/>
          <w:i w:val="0"/>
          <w:iCs w:val="0"/>
          <w:caps w:val="0"/>
          <w:color w:val="auto"/>
          <w:spacing w:val="0"/>
          <w:kern w:val="0"/>
          <w:sz w:val="24"/>
          <w:szCs w:val="24"/>
          <w:shd w:val="clear" w:color="auto" w:fill="FFFFFF"/>
          <w:lang w:val="en-US" w:eastAsia="zh-CN" w:bidi="ar"/>
        </w:rPr>
        <w:t>中选服务商应配备有至少5名粤菜、湘菜、川菜等不同口味菜式的厨师，并要配备驻点营养师和点心师等，中选服务商所有员工应服务态度好，品行良好。身体健康并能胜任岗位的工作，无传染性疾病（必须进行入职体检）、无违法犯罪记录（员工入职前中选服务商应将人员名单提交给当地派出所核查，核查无犯罪记录后才可入职，否则所造成的一切后果及责任由中选服务商承担）。所有人员名单应提交给医院主管部门备案。（提供承诺函）</w:t>
      </w:r>
    </w:p>
    <w:p w14:paraId="5BB5BAE3">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★5、 中选服务商必须遵守国家相关法律法规，遵守医院的规章制度，合法经营，按章纳税，中选服务商入场前必须为该项目购买相应的食品、财产和人身安全保险，并将该保险复印件提交给业主方备案。中选服务商对经营过程所发生的一切安全责任、债务、劳资纠纷和各种意外事件及其造成的后果负责。</w:t>
      </w:r>
    </w:p>
    <w:p w14:paraId="15649627">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6、中选服务商的法人为食堂消防、治安、食品卫生及安全生产的第一责任人，做好饭堂的消防安全工作，按照国家消防安全标准安装和配置必要的性能完好的消防设施设备，并定期接受业主方及相关机构的监督检查。食堂内发生的消防安全及设备、燃气、油烟系统、电源（炉灶、各种炊事设备）等事故，由中选服务商承担一切责任。</w:t>
      </w:r>
    </w:p>
    <w:p w14:paraId="4D56922F">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7、中选服务商不得将食堂私自转让或委托他人经营，更不能利用业主方资源进行非法经营，一经发现，业主方有权取消其承包资格，并给予经济处罚或追究法律责任。</w:t>
      </w:r>
    </w:p>
    <w:p w14:paraId="752A66C9">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8、中选服务商所采购、制作、销售的食品质量要求必须符合国家的卫生、安全标准，并对其食品负责，并承担其造成的一切后果。因承包者责任造成食物中毒、消防安全或其他安全责任事故等造成严重事故的，业主方有权单方终止合同并保留追究责任的权利。如</w:t>
      </w:r>
      <w:r>
        <w:rPr>
          <w:rFonts w:hint="eastAsia" w:ascii="宋体" w:hAnsi="宋体" w:eastAsia="宋体" w:cs="宋体"/>
          <w:i w:val="0"/>
          <w:iCs w:val="0"/>
          <w:caps w:val="0"/>
          <w:color w:val="auto"/>
          <w:spacing w:val="0"/>
          <w:kern w:val="0"/>
          <w:sz w:val="24"/>
          <w:szCs w:val="24"/>
          <w:shd w:val="clear" w:color="auto" w:fill="FFFFFF"/>
          <w:lang w:val="zh-CN" w:eastAsia="zh-CN" w:bidi="ar"/>
        </w:rPr>
        <w:t>对业主方造成财产或声誉损害的，中选服务商应承担赔偿责任。</w:t>
      </w:r>
    </w:p>
    <w:p w14:paraId="4E1F4A71">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9、 中选服务商必须在指定场地和区域内进行生产和经营，严禁在医疗区域兜售食物。</w:t>
      </w:r>
    </w:p>
    <w:p w14:paraId="4404E835">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10、中选服务商所从事的任何业务不能以小榄人民医院名义对外发布，禁止张贴出现有法律规定在医疗单位不得出现的标志、标识等（如香烟广告等）。</w:t>
      </w:r>
    </w:p>
    <w:p w14:paraId="46EA1F6F">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11、中选服务商不得在经营区域内储存任何易燃、易爆、腐蚀性物品及其他危险物品，严禁销售奶瓶、奶嘴、烟草、酒品及国家禁止的药品、伪劣产品及超出经营范围的商品。 </w:t>
      </w:r>
    </w:p>
    <w:p w14:paraId="239DE9DB">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12、业主方提供的基础设备、设施等，由中选服务商负责维护和保养，如有损坏或需要维修，由中选服务商负责。</w:t>
      </w:r>
    </w:p>
    <w:p w14:paraId="2596C1AB">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★13、中选服务商必须加强对雇用员工的教育与管理，严禁在医院进行非法活动，中选服务商员工所发生的一切纠纷或意外事故由中选服务商负责。</w:t>
      </w:r>
    </w:p>
    <w:p w14:paraId="512CBC08">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14、中选服务商必须文明守法，按章纳税，随时接受业主方及政府行政管理部门、治安、消防管理部门的监督和检查。</w:t>
      </w:r>
    </w:p>
    <w:p w14:paraId="0332CEB6">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15、中选服务商的员工应遵守餐饮操作规范、法律法规及医院的规章制度要求。员工应注意个人卫生，勤洗手，每天勤换衣着整齐干净，接触食品的员工在工作时戴帽子（头发不得外露）、口罩等，不得佩戴戒指、手镯等饰品。所有员工必须通过培训后，持有健康证方可上岗，患有国家规定的传染病者严禁上岗，患有发热、腹泻、手部皮肤有伤口或感染等情况的员工应立即脱离工作岗位，并在治疗至痊愈或污染食品的可能被排除后，方可恢复上岗。员工必须每年体检一次，体检等费用由承包者负责。</w:t>
      </w:r>
    </w:p>
    <w:p w14:paraId="1D158226">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16、中选服务商必须按照《中华人民共和国劳动合同法》等国家法律法规为所有员工缴纳各种社会保险（包括养老、医疗、工伤、生育保险、失业保险等），中选服务商与其员工发生的劳资纠纷、疾病、工伤等一切纠纷、责任事件由中选服务商负责。因中选服务商过失造成严重事故的，业主方有权单方终止合同并保留追究责任的权利。</w:t>
      </w:r>
    </w:p>
    <w:p w14:paraId="7E295174">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 xml:space="preserve">  ▲17、中选服务商根据三甲医院评审的服务要求，制定并不断完善食品操作（准备、处理、贮存、运送、留样等）标准与程序、员工岗位职责及食品安全相关管理制度，在适当位置加设公示牌，列明工作要求以及管理方法。积极配合业主方或公安、消防、安监、食品安全、卫生防疫等部门做好卫生、食品安全、消防安全的宣传及管理工作。响应服务商生产、运输及机构内分送场所的设施与卫生条件符合国家食品卫生法规要求，有突发食品安全事件、消防等应急预案并根据预案开展的应急演练，食品安全演练每年最少一次，消防演练每年最少二次，有演练记录、有总结和改进措施。</w:t>
      </w:r>
    </w:p>
    <w:p w14:paraId="10BD6DB5">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18、中选服务商应建立完善的投诉事件处理制度与流程，工作人员应有良好的服务态度，及时解决医院职工或患者及家属反映的问题，确保职工满意度、患者满意度达到85%以上。禁止与医院员工、患者及家属发生争吵或冲突。凡是经核实的投诉，按1000元/次进行处罚。</w:t>
      </w:r>
    </w:p>
    <w:p w14:paraId="10C376DF">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19、不断完善各项管理规章制度、人力资源管理方案、具体的日常岗位工作安排、应急管理方案、员工管理制度和奖惩等职责制度并提交给招标人备案，招标人有权要求修订相关制度并监督执行，有权查阅中选服务商的财务状况及财务报表。</w:t>
      </w:r>
    </w:p>
    <w:p w14:paraId="61AEA2A8">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20、做好台账记录，包括餐具消毒记录、响应服务商资质台账、餐厨垃圾收运记录等，按要求定时整理和归档资料，妥善保存，以备检查。</w:t>
      </w:r>
    </w:p>
    <w:p w14:paraId="667C8528">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21、按照三甲医院的管理要求，开展持续改进。包括对医院反馈问题整改落实措施、效果，定期总结并书面向招标人汇报。</w:t>
      </w:r>
    </w:p>
    <w:p w14:paraId="22883520">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22、节能环保要求。</w:t>
      </w:r>
    </w:p>
    <w:p w14:paraId="0406F22D">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①协助业主方创建国家型节约能源公共机构的相关工作，积极开展节能工作，做到节能减排、绿色环保。</w:t>
      </w:r>
    </w:p>
    <w:p w14:paraId="52596248">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②实行绿色采购，严格执行国家有关强制采购或优先采购节能产品和技术的规定，采购列入《节能产品政府采购清单》、《环境标志产品政府采购清单》的产品和能效“领跑者”产品。</w:t>
      </w:r>
    </w:p>
    <w:p w14:paraId="7F379AEF">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③采取减少一次性餐具使用的措施。禁止、限制使用不可降解塑料袋、一次性塑料餐具，积极推广使用符合性能和食品安全要求的生物基产品、可降解塑料袋等替代产品，不向顾客主动提供一次性餐具用品，中选服务商的环保节能工作纳入日常考核，一次性餐具须使用环保符合卫生且可回收的餐具（具有环保符号），不得使用发泡产品，须提供样品样本供业主方确认后方可使用。</w:t>
      </w:r>
    </w:p>
    <w:p w14:paraId="4F866D5E">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④中选服务商的服务及所使用的物品、用具、材料不得违反国家有关环卫、环保相关制度和管理规定，不得对医院的环境造成二次污染；业主方有权对相关事宜进行检查和评估，有权拒绝使用不符合标准的材料，并进行一定金额处罚。</w:t>
      </w:r>
    </w:p>
    <w:p w14:paraId="70FEE84F">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★23、业主方提供现有的设备、设施给中选服务商使用，中选服务商必须爱护业主方提供的各项设备、设施。</w:t>
      </w:r>
      <w:r>
        <w:rPr>
          <w:rFonts w:hint="eastAsia" w:ascii="宋体" w:hAnsi="宋体" w:eastAsia="宋体" w:cs="宋体"/>
          <w:i w:val="0"/>
          <w:iCs w:val="0"/>
          <w:caps w:val="0"/>
          <w:color w:val="auto"/>
          <w:spacing w:val="0"/>
          <w:kern w:val="0"/>
          <w:sz w:val="24"/>
          <w:szCs w:val="24"/>
          <w:shd w:val="clear" w:color="auto" w:fill="FFFFFF"/>
          <w:lang w:val="zh-CN" w:eastAsia="zh-CN" w:bidi="ar"/>
        </w:rPr>
        <w:t xml:space="preserve"> 经业主方盘点后开列清单提供给中选服务商使用，维</w:t>
      </w:r>
      <w:r>
        <w:rPr>
          <w:rFonts w:hint="eastAsia" w:ascii="宋体" w:hAnsi="宋体" w:eastAsia="宋体" w:cs="宋体"/>
          <w:i w:val="0"/>
          <w:iCs w:val="0"/>
          <w:caps w:val="0"/>
          <w:color w:val="auto"/>
          <w:spacing w:val="0"/>
          <w:kern w:val="0"/>
          <w:sz w:val="24"/>
          <w:szCs w:val="24"/>
          <w:shd w:val="clear" w:color="auto" w:fill="FFFFFF"/>
          <w:lang w:val="en-US" w:eastAsia="zh-CN" w:bidi="ar"/>
        </w:rPr>
        <w:t>护</w:t>
      </w:r>
      <w:r>
        <w:rPr>
          <w:rFonts w:hint="eastAsia" w:ascii="宋体" w:hAnsi="宋体" w:eastAsia="宋体" w:cs="宋体"/>
          <w:i w:val="0"/>
          <w:iCs w:val="0"/>
          <w:caps w:val="0"/>
          <w:color w:val="auto"/>
          <w:spacing w:val="0"/>
          <w:kern w:val="0"/>
          <w:sz w:val="24"/>
          <w:szCs w:val="24"/>
          <w:shd w:val="clear" w:color="auto" w:fill="FFFFFF"/>
          <w:lang w:val="zh-CN" w:eastAsia="zh-CN" w:bidi="ar"/>
        </w:rPr>
        <w:t>费用由中选服务商</w:t>
      </w:r>
      <w:r>
        <w:rPr>
          <w:rFonts w:hint="eastAsia" w:ascii="宋体" w:hAnsi="宋体" w:eastAsia="宋体" w:cs="宋体"/>
          <w:i w:val="0"/>
          <w:iCs w:val="0"/>
          <w:caps w:val="0"/>
          <w:color w:val="auto"/>
          <w:spacing w:val="0"/>
          <w:kern w:val="0"/>
          <w:sz w:val="24"/>
          <w:szCs w:val="24"/>
          <w:shd w:val="clear" w:color="auto" w:fill="FFFFFF"/>
          <w:lang w:val="en-US" w:eastAsia="zh-CN" w:bidi="ar"/>
        </w:rPr>
        <w:t>承担</w:t>
      </w:r>
      <w:r>
        <w:rPr>
          <w:rFonts w:hint="eastAsia" w:ascii="宋体" w:hAnsi="宋体" w:eastAsia="宋体" w:cs="宋体"/>
          <w:i w:val="0"/>
          <w:iCs w:val="0"/>
          <w:caps w:val="0"/>
          <w:color w:val="auto"/>
          <w:spacing w:val="0"/>
          <w:kern w:val="0"/>
          <w:sz w:val="24"/>
          <w:szCs w:val="24"/>
          <w:shd w:val="clear" w:color="auto" w:fill="FFFFFF"/>
          <w:lang w:val="zh-CN" w:eastAsia="zh-CN" w:bidi="ar"/>
        </w:rPr>
        <w:t>；合同期满后，中选服务商应按清单记载内容将相关设施设备完好交回于业主方，并在双方参加下做好交接手续。</w:t>
      </w:r>
      <w:r>
        <w:rPr>
          <w:rFonts w:hint="eastAsia" w:ascii="宋体" w:hAnsi="宋体" w:eastAsia="宋体" w:cs="宋体"/>
          <w:i w:val="0"/>
          <w:iCs w:val="0"/>
          <w:caps w:val="0"/>
          <w:color w:val="auto"/>
          <w:spacing w:val="0"/>
          <w:kern w:val="0"/>
          <w:sz w:val="24"/>
          <w:szCs w:val="24"/>
          <w:shd w:val="clear" w:color="auto" w:fill="FFFFFF"/>
          <w:lang w:val="en-US" w:eastAsia="zh-CN" w:bidi="ar"/>
        </w:rPr>
        <w:t>中选服务商需要对承包区域进行装修、改造等改动时，必须书面征得业主方同意后方可实施，所产生的费用由中选服务商负责。</w:t>
      </w:r>
      <w:r>
        <w:rPr>
          <w:rFonts w:hint="eastAsia" w:ascii="宋体" w:hAnsi="宋体" w:eastAsia="宋体" w:cs="宋体"/>
          <w:i w:val="0"/>
          <w:iCs w:val="0"/>
          <w:caps w:val="0"/>
          <w:color w:val="auto"/>
          <w:spacing w:val="0"/>
          <w:kern w:val="0"/>
          <w:sz w:val="24"/>
          <w:szCs w:val="24"/>
          <w:shd w:val="clear" w:color="auto" w:fill="FFFFFF"/>
          <w:lang w:val="zh-CN" w:eastAsia="zh-CN" w:bidi="ar"/>
        </w:rPr>
        <w:t>添置或更新设施由响应服务商负责，费用自理。</w:t>
      </w:r>
      <w:r>
        <w:rPr>
          <w:rFonts w:hint="eastAsia" w:ascii="宋体" w:hAnsi="宋体" w:eastAsia="宋体" w:cs="宋体"/>
          <w:i w:val="0"/>
          <w:iCs w:val="0"/>
          <w:caps w:val="0"/>
          <w:color w:val="auto"/>
          <w:spacing w:val="0"/>
          <w:kern w:val="0"/>
          <w:sz w:val="24"/>
          <w:szCs w:val="24"/>
          <w:shd w:val="clear" w:color="auto" w:fill="FFFFFF"/>
          <w:lang w:val="en-US" w:eastAsia="zh-CN" w:bidi="ar"/>
        </w:rPr>
        <w:t>中选服务商经营期间必须保证房屋、基础建设及设备设施的完好性，如有损坏由中选服务商负责相应的费用。承包期满</w:t>
      </w:r>
      <w:r>
        <w:rPr>
          <w:rFonts w:hint="eastAsia" w:ascii="宋体" w:hAnsi="宋体" w:eastAsia="宋体" w:cs="宋体"/>
          <w:i w:val="0"/>
          <w:iCs w:val="0"/>
          <w:caps w:val="0"/>
          <w:color w:val="auto"/>
          <w:spacing w:val="0"/>
          <w:kern w:val="0"/>
          <w:sz w:val="24"/>
          <w:szCs w:val="24"/>
          <w:shd w:val="clear" w:color="auto" w:fill="FFFFFF"/>
          <w:lang w:val="zh-CN" w:eastAsia="zh-CN" w:bidi="ar"/>
        </w:rPr>
        <w:t>响应服务商撤场后10个工作日内，</w:t>
      </w:r>
      <w:r>
        <w:rPr>
          <w:rFonts w:hint="eastAsia" w:ascii="宋体" w:hAnsi="宋体" w:eastAsia="宋体" w:cs="宋体"/>
          <w:i w:val="0"/>
          <w:iCs w:val="0"/>
          <w:caps w:val="0"/>
          <w:color w:val="auto"/>
          <w:spacing w:val="0"/>
          <w:kern w:val="0"/>
          <w:sz w:val="24"/>
          <w:szCs w:val="24"/>
          <w:shd w:val="clear" w:color="auto" w:fill="FFFFFF"/>
          <w:lang w:val="en-US" w:eastAsia="zh-CN" w:bidi="ar"/>
        </w:rPr>
        <w:t>中选服务商可以拆除属于中选服务商的可移动的设备、设施，</w:t>
      </w:r>
      <w:r>
        <w:rPr>
          <w:rFonts w:hint="eastAsia" w:ascii="宋体" w:hAnsi="宋体" w:eastAsia="宋体" w:cs="宋体"/>
          <w:i w:val="0"/>
          <w:iCs w:val="0"/>
          <w:caps w:val="0"/>
          <w:color w:val="auto"/>
          <w:spacing w:val="0"/>
          <w:kern w:val="0"/>
          <w:sz w:val="24"/>
          <w:szCs w:val="24"/>
          <w:shd w:val="clear" w:color="auto" w:fill="FFFFFF"/>
          <w:lang w:val="zh-CN" w:eastAsia="zh-CN" w:bidi="ar"/>
        </w:rPr>
        <w:t>但处置后不得遗留安全隐患，逾期不处理的，归业主方所有。</w:t>
      </w:r>
      <w:r>
        <w:rPr>
          <w:rFonts w:hint="eastAsia" w:ascii="宋体" w:hAnsi="宋体" w:eastAsia="宋体" w:cs="宋体"/>
          <w:i w:val="0"/>
          <w:iCs w:val="0"/>
          <w:caps w:val="0"/>
          <w:color w:val="auto"/>
          <w:spacing w:val="0"/>
          <w:kern w:val="0"/>
          <w:sz w:val="24"/>
          <w:szCs w:val="24"/>
          <w:shd w:val="clear" w:color="auto" w:fill="FFFFFF"/>
          <w:lang w:val="en-US" w:eastAsia="zh-CN" w:bidi="ar"/>
        </w:rPr>
        <w:t>固定的、不能拆卸的设备设施不得拆除、破坏，业主方不承担其转让工作。</w:t>
      </w:r>
    </w:p>
    <w:p w14:paraId="3F3194AE">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24、中选服务商必须密切配合业主方的工作需要，对医院临时交付的任务能按要求完成并配合接受上级部门的检查。</w:t>
      </w:r>
    </w:p>
    <w:p w14:paraId="1D1D3A86">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25、中选服务商不得将餐厅私自转让（含窗口分包）或委托他人经营，更不能在公司内搞不法经营，不得对外经营。</w:t>
      </w:r>
    </w:p>
    <w:p w14:paraId="155C545C">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26、中选服务商负责承包区域治安保卫、安全防火、防盗等工作，服从业主方的统一管理，确保安全无事故。</w:t>
      </w:r>
    </w:p>
    <w:p w14:paraId="345A148A">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27、响应服务商应提供舒适的就餐环境，当温度≥28℃时应保证空调的正常开启，并定期检查空调、风扇等降温设备的完好性。</w:t>
      </w:r>
    </w:p>
    <w:p w14:paraId="76208707">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28、中选服务商应落实业主方、政府机关、其他上级管理部门下达的关于安全生产、食品安全、节能降耗等方面文件要求，如有改革应积极执行，相关费用由中选服务商自行承担。</w:t>
      </w:r>
    </w:p>
    <w:p w14:paraId="72AC1607">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29、业主方有特殊任务或应急事件等情况需要紧急提供餐饮服务时，如突发事件、上级检查、业主方重要的大型活动、业主方认为重要的其他事件等，中选服务商及其员工应积极配合和服从业主方的调遣、指挥并参与应急或加班工作，费用不另外追加。</w:t>
      </w:r>
    </w:p>
    <w:p w14:paraId="53F25DC1">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▲30、应配置农药检验检测仪，用于抽验蔬果农药残留，并做好检验台账，必要时由业主方检验科检查检测情况。</w:t>
      </w:r>
    </w:p>
    <w:p w14:paraId="0F20F281">
      <w:pPr>
        <w:spacing w:line="360" w:lineRule="auto"/>
        <w:ind w:firstLine="480" w:firstLineChars="200"/>
        <w:rPr>
          <w:rFonts w:ascii="宋体" w:hAnsi="宋体"/>
          <w:bCs/>
          <w:color w:val="auto"/>
          <w:szCs w:val="21"/>
          <w:highlight w:val="none"/>
        </w:rPr>
      </w:pPr>
      <w:r>
        <w:rPr>
          <w:rFonts w:hint="eastAsia" w:ascii="宋体" w:hAnsi="宋体" w:eastAsia="宋体" w:cs="宋体"/>
          <w:i w:val="0"/>
          <w:iCs w:val="0"/>
          <w:caps w:val="0"/>
          <w:color w:val="auto"/>
          <w:spacing w:val="0"/>
          <w:kern w:val="0"/>
          <w:sz w:val="24"/>
          <w:szCs w:val="24"/>
          <w:shd w:val="clear" w:color="auto" w:fill="FFFFFF"/>
          <w:lang w:val="en-US" w:eastAsia="zh-CN" w:bidi="ar"/>
        </w:rPr>
        <w:t>★31、合同终止时，中选服务商应将业主方所需保存的所有培训资料（签到表、培训内容、培训总结、培训照片等）及经营、管理原始资料移交给业主方，并完成所有交接手续后方可撤场。</w:t>
      </w:r>
    </w:p>
    <w:p w14:paraId="500A5675">
      <w:pPr>
        <w:keepNext w:val="0"/>
        <w:keepLines w:val="0"/>
        <w:pageBreakBefore w:val="0"/>
        <w:widowControl w:val="0"/>
        <w:kinsoku/>
        <w:wordWrap/>
        <w:overflowPunct/>
        <w:topLinePunct w:val="0"/>
        <w:autoSpaceDE w:val="0"/>
        <w:autoSpaceDN w:val="0"/>
        <w:bidi w:val="0"/>
        <w:adjustRightInd w:val="0"/>
        <w:snapToGrid w:val="0"/>
        <w:spacing w:line="360" w:lineRule="auto"/>
        <w:textAlignment w:val="auto"/>
        <w:rPr>
          <w:rFonts w:hint="eastAsia" w:ascii="宋体" w:hAnsi="宋体" w:eastAsia="宋体" w:cs="宋体"/>
          <w:b/>
          <w:bCs/>
          <w:color w:val="auto"/>
          <w:sz w:val="28"/>
          <w:szCs w:val="28"/>
          <w:shd w:val="clear" w:color="auto" w:fill="FFFFFF"/>
          <w:lang w:val="en-US" w:eastAsia="zh-CN"/>
        </w:rPr>
      </w:pPr>
      <w:r>
        <w:rPr>
          <w:rFonts w:hint="eastAsia" w:ascii="宋体" w:hAnsi="宋体" w:eastAsia="宋体" w:cs="宋体"/>
          <w:b/>
          <w:bCs/>
          <w:color w:val="auto"/>
          <w:sz w:val="28"/>
          <w:szCs w:val="28"/>
          <w:shd w:val="clear" w:color="auto" w:fill="FFFFFF"/>
          <w:lang w:val="en-US" w:eastAsia="zh-CN"/>
        </w:rPr>
        <w:t>七、监督管理要求：</w:t>
      </w:r>
    </w:p>
    <w:p w14:paraId="425A7116">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1、中选服务商及员工必须配合业主方主管部门的监督与考核（考核方案详见附表），不得以任何理由拒绝或阻挠，并应根据考核提出的合理建议和要求进行改进，如果有异议的可以在两天内向业主方主管部门提出。</w:t>
      </w:r>
    </w:p>
    <w:p w14:paraId="74CA5292">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2、中选服务商应配合业主方的价格监督。中选服务商应提供每月原材料的采购票据及凭证、成本明细报表（不得弄虚作假）、售价（定价方案等）供业主方审核，一旦发现有私自提价或乱收费的现象，扣罚2000元/次。一旦发现中选服务商的利润高于规定的利润者，视情况予以扣罚10000元/次并立即调价至要求的范围内。</w:t>
      </w:r>
    </w:p>
    <w:p w14:paraId="2D101776">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3、中选服务商应将公司管理人员信息及员工名单、健康证复印件提交给业主方主管部门备案。中选服务商不得因人员配备不足而影响服务质量，业主方主管部门发现每次扣罚1000元。监管过程中发现有未办健康证就入职的员工或健康证过期未及时更换，扣罚500元/人/次。</w:t>
      </w:r>
    </w:p>
    <w:p w14:paraId="2D08D3D0">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4、中选服务商应制定应对投诉、食品质量、食物中毒等不良事件的处理流程，员工应掌握不良事件上报流程及处理方法，中选服务商接到投诉或有争议的不良事件时，管理人员应1小时内赶到现场进行调查和处理（应急事件在2小时内，一般事件1天内完成处理措施，将损害减到最小），不良事件处理结束后，应填写《不良事件追踪调查表》，对事件进行原因分析及持续改进，以免类似情况再次发生，并在3天内将《不良事件追踪调查表》交给业主方主管部门。一旦出现严重的服务缺陷投诉、食品、安全质量事故，中选服务商还须承担相应的责任外，扣罚5000-10000元/次。</w:t>
      </w:r>
    </w:p>
    <w:p w14:paraId="171FAC01">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5、中选服务商应管理好所属员工，必须遵守国家有关法律法规和业主方的劳动纪律，所属员工发生的一切投诉、纠纷和法律事件，一概由中选服务商承担。若因中选服务商管理不善、控制不力而发生中选服务商员工群体游行、示威、罢工等重大事件且造成严重影响的，每次扣罚20000元。在合同期内累计发生两次重大事件，业主方有权根据具体情况决定单方解除合同，并没收履约保证金。</w:t>
      </w:r>
    </w:p>
    <w:p w14:paraId="17E5E8E8">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6、服务质量考评：业主方每月根据《小榄人民医院饭堂服务质量监督检查记录表》（详见附表）对中选服务商的服务质量进行考评，考评总分为100分，当月考评总分在90分及以上为合格。考核分在85～90分（含85分）之间，不予扣罚，但中选服务商需要对存在问题予以立即改进，如因中选服务商责任所致的同一问题第二次出现的，扣罚500元/次；考核分在80～85分（含80分）之间，每少一分扣1000元/分；考核分在75～80分（含75分）之间，每少一分扣2000元/分；考核分低于75分（不含75分）以下的，每少一分，扣5000元/分；连续两个月考核结果低于75分（不含75分）的，业主方有权单方解除合同重新招标。</w:t>
      </w:r>
    </w:p>
    <w:p w14:paraId="716B1A73">
      <w:pPr>
        <w:spacing w:line="360" w:lineRule="auto"/>
        <w:ind w:firstLine="480" w:firstLineChars="200"/>
        <w:rPr>
          <w:rFonts w:hint="eastAsia" w:ascii="宋体" w:hAnsi="宋体" w:eastAsia="宋体" w:cs="宋体"/>
          <w:i w:val="0"/>
          <w:iCs w:val="0"/>
          <w:caps w:val="0"/>
          <w:color w:val="auto"/>
          <w:spacing w:val="0"/>
          <w:kern w:val="0"/>
          <w:sz w:val="24"/>
          <w:szCs w:val="24"/>
          <w:shd w:val="clear" w:color="auto" w:fill="FFFFFF"/>
          <w:lang w:val="en-US" w:eastAsia="zh-CN" w:bidi="ar"/>
        </w:rPr>
      </w:pPr>
      <w:r>
        <w:rPr>
          <w:rFonts w:hint="eastAsia" w:ascii="宋体" w:hAnsi="宋体" w:eastAsia="宋体" w:cs="宋体"/>
          <w:i w:val="0"/>
          <w:iCs w:val="0"/>
          <w:caps w:val="0"/>
          <w:color w:val="auto"/>
          <w:spacing w:val="0"/>
          <w:kern w:val="0"/>
          <w:sz w:val="24"/>
          <w:szCs w:val="24"/>
          <w:shd w:val="clear" w:color="auto" w:fill="FFFFFF"/>
          <w:lang w:val="en-US" w:eastAsia="zh-CN" w:bidi="ar"/>
        </w:rPr>
        <w:t>附件一：《小榄人民医院餐饮服务质量监督考评表》（可根据实际进行调整）</w:t>
      </w:r>
    </w:p>
    <w:p w14:paraId="1851D013">
      <w:pPr>
        <w:pStyle w:val="27"/>
        <w:rPr>
          <w:rFonts w:hint="eastAsia" w:ascii="宋体" w:hAnsi="宋体" w:eastAsia="宋体" w:cs="宋体"/>
          <w:color w:val="000000" w:themeColor="text1"/>
          <w:sz w:val="24"/>
          <w:szCs w:val="24"/>
          <w14:textFill>
            <w14:solidFill>
              <w14:schemeClr w14:val="tx1"/>
            </w14:solidFill>
          </w14:textFill>
        </w:rPr>
      </w:pPr>
    </w:p>
    <w:p w14:paraId="5F2B97BC">
      <w:pPr>
        <w:pStyle w:val="8"/>
        <w:ind w:left="0" w:leftChars="0" w:firstLine="0" w:firstLineChars="0"/>
        <w:rPr>
          <w:rFonts w:hint="eastAsia" w:ascii="宋体" w:hAnsi="宋体" w:eastAsia="宋体" w:cs="宋体"/>
          <w:b/>
          <w:bCs/>
          <w:kern w:val="2"/>
          <w:sz w:val="44"/>
          <w:szCs w:val="44"/>
          <w:lang w:val="en-US" w:eastAsia="zh-CN" w:bidi="ar-SA"/>
        </w:rPr>
      </w:pPr>
    </w:p>
    <w:p w14:paraId="76C78B2E">
      <w:pPr>
        <w:rPr>
          <w:rFonts w:hint="eastAsia" w:ascii="宋体" w:hAnsi="宋体" w:eastAsia="宋体" w:cs="宋体"/>
          <w:b/>
          <w:bCs/>
          <w:kern w:val="2"/>
          <w:sz w:val="44"/>
          <w:szCs w:val="44"/>
          <w:lang w:val="en-US" w:eastAsia="zh-CN" w:bidi="ar-SA"/>
        </w:rPr>
      </w:pPr>
    </w:p>
    <w:p w14:paraId="00209980">
      <w:pPr>
        <w:rPr>
          <w:rFonts w:hint="eastAsia" w:ascii="宋体" w:hAnsi="宋体" w:eastAsia="宋体" w:cs="宋体"/>
          <w:b/>
          <w:bCs/>
          <w:kern w:val="2"/>
          <w:sz w:val="44"/>
          <w:szCs w:val="44"/>
          <w:lang w:val="en-US" w:eastAsia="zh-CN" w:bidi="ar-SA"/>
        </w:rPr>
      </w:pPr>
    </w:p>
    <w:p w14:paraId="73F4C8A4">
      <w:pPr>
        <w:rPr>
          <w:rFonts w:hint="eastAsia" w:ascii="宋体" w:hAnsi="宋体" w:eastAsia="宋体" w:cs="宋体"/>
          <w:b/>
          <w:bCs/>
          <w:kern w:val="2"/>
          <w:sz w:val="44"/>
          <w:szCs w:val="44"/>
          <w:lang w:val="en-US" w:eastAsia="zh-CN" w:bidi="ar-SA"/>
        </w:rPr>
      </w:pPr>
    </w:p>
    <w:p w14:paraId="03040F93">
      <w:pPr>
        <w:rPr>
          <w:rFonts w:hint="eastAsia" w:ascii="宋体" w:hAnsi="宋体" w:eastAsia="宋体" w:cs="宋体"/>
          <w:b/>
          <w:bCs/>
          <w:kern w:val="2"/>
          <w:sz w:val="44"/>
          <w:szCs w:val="44"/>
          <w:lang w:val="en-US" w:eastAsia="zh-CN" w:bidi="ar-SA"/>
        </w:rPr>
      </w:pPr>
    </w:p>
    <w:p w14:paraId="48E85B3B">
      <w:pPr>
        <w:rPr>
          <w:rFonts w:hint="eastAsia" w:ascii="宋体" w:hAnsi="宋体" w:eastAsia="宋体" w:cs="宋体"/>
          <w:b/>
          <w:bCs/>
          <w:kern w:val="2"/>
          <w:sz w:val="44"/>
          <w:szCs w:val="44"/>
          <w:lang w:val="en-US" w:eastAsia="zh-CN" w:bidi="ar-SA"/>
        </w:rPr>
      </w:pPr>
    </w:p>
    <w:p w14:paraId="6CF97E96">
      <w:pPr>
        <w:rPr>
          <w:rFonts w:hint="eastAsia" w:ascii="宋体" w:hAnsi="宋体" w:eastAsia="宋体" w:cs="宋体"/>
          <w:b/>
          <w:bCs/>
          <w:kern w:val="2"/>
          <w:sz w:val="44"/>
          <w:szCs w:val="44"/>
          <w:lang w:val="en-US" w:eastAsia="zh-CN" w:bidi="ar-SA"/>
        </w:rPr>
      </w:pPr>
    </w:p>
    <w:p w14:paraId="7B99837F">
      <w:pPr>
        <w:rPr>
          <w:rFonts w:hint="eastAsia" w:ascii="宋体" w:hAnsi="宋体" w:eastAsia="宋体" w:cs="宋体"/>
          <w:b/>
          <w:bCs/>
          <w:kern w:val="2"/>
          <w:sz w:val="44"/>
          <w:szCs w:val="44"/>
          <w:lang w:val="en-US" w:eastAsia="zh-CN" w:bidi="ar-SA"/>
        </w:rPr>
      </w:pPr>
    </w:p>
    <w:p w14:paraId="21447AFF">
      <w:pPr>
        <w:rPr>
          <w:rFonts w:hint="eastAsia" w:ascii="宋体" w:hAnsi="宋体" w:eastAsia="宋体" w:cs="宋体"/>
          <w:b/>
          <w:bCs/>
          <w:kern w:val="2"/>
          <w:sz w:val="44"/>
          <w:szCs w:val="44"/>
          <w:lang w:val="en-US" w:eastAsia="zh-CN" w:bidi="ar-SA"/>
        </w:rPr>
      </w:pPr>
    </w:p>
    <w:p w14:paraId="781F8D1B">
      <w:pPr>
        <w:rPr>
          <w:rFonts w:hint="eastAsia" w:ascii="宋体" w:hAnsi="宋体" w:eastAsia="宋体" w:cs="宋体"/>
          <w:b/>
          <w:bCs/>
          <w:kern w:val="2"/>
          <w:sz w:val="44"/>
          <w:szCs w:val="44"/>
          <w:lang w:val="en-US" w:eastAsia="zh-CN" w:bidi="ar-SA"/>
        </w:rPr>
      </w:pPr>
    </w:p>
    <w:p w14:paraId="4FB9D141">
      <w:pPr>
        <w:rPr>
          <w:rFonts w:hint="eastAsia" w:ascii="宋体" w:hAnsi="宋体" w:eastAsia="宋体" w:cs="宋体"/>
          <w:b/>
          <w:bCs/>
          <w:kern w:val="2"/>
          <w:sz w:val="44"/>
          <w:szCs w:val="44"/>
          <w:lang w:val="en-US" w:eastAsia="zh-CN" w:bidi="ar-SA"/>
        </w:rPr>
      </w:pPr>
    </w:p>
    <w:p w14:paraId="2AD40655">
      <w:pPr>
        <w:rPr>
          <w:rFonts w:hint="eastAsia" w:ascii="宋体" w:hAnsi="宋体" w:eastAsia="宋体" w:cs="宋体"/>
          <w:b/>
          <w:bCs/>
          <w:kern w:val="2"/>
          <w:sz w:val="44"/>
          <w:szCs w:val="44"/>
          <w:lang w:val="en-US" w:eastAsia="zh-CN" w:bidi="ar-SA"/>
        </w:rPr>
      </w:pPr>
    </w:p>
    <w:p w14:paraId="4E6FF80F">
      <w:pPr>
        <w:rPr>
          <w:rFonts w:hint="eastAsia" w:ascii="宋体" w:hAnsi="宋体" w:eastAsia="宋体" w:cs="宋体"/>
          <w:b/>
          <w:bCs/>
          <w:kern w:val="2"/>
          <w:sz w:val="44"/>
          <w:szCs w:val="44"/>
          <w:lang w:val="en-US" w:eastAsia="zh-CN" w:bidi="ar-SA"/>
        </w:rPr>
      </w:pPr>
    </w:p>
    <w:p w14:paraId="381B96E4">
      <w:pPr>
        <w:rPr>
          <w:rFonts w:hint="eastAsia" w:ascii="宋体" w:hAnsi="宋体" w:eastAsia="宋体" w:cs="宋体"/>
          <w:b/>
          <w:bCs/>
          <w:kern w:val="2"/>
          <w:sz w:val="44"/>
          <w:szCs w:val="44"/>
          <w:lang w:val="en-US" w:eastAsia="zh-CN" w:bidi="ar-SA"/>
        </w:rPr>
      </w:pPr>
    </w:p>
    <w:p w14:paraId="6420644B">
      <w:pPr>
        <w:rPr>
          <w:rFonts w:hint="eastAsia" w:ascii="宋体" w:hAnsi="宋体" w:eastAsia="宋体" w:cs="宋体"/>
          <w:b/>
          <w:bCs/>
          <w:kern w:val="2"/>
          <w:sz w:val="44"/>
          <w:szCs w:val="44"/>
          <w:lang w:val="en-US" w:eastAsia="zh-CN" w:bidi="ar-SA"/>
        </w:rPr>
      </w:pPr>
    </w:p>
    <w:p w14:paraId="03192D38">
      <w:pPr>
        <w:rPr>
          <w:rFonts w:hint="eastAsia" w:ascii="宋体" w:hAnsi="宋体" w:eastAsia="宋体" w:cs="宋体"/>
          <w:b/>
          <w:bCs/>
          <w:kern w:val="2"/>
          <w:sz w:val="44"/>
          <w:szCs w:val="44"/>
          <w:lang w:val="en-US" w:eastAsia="zh-CN" w:bidi="ar-SA"/>
        </w:rPr>
      </w:pPr>
    </w:p>
    <w:p w14:paraId="2369D366">
      <w:pPr>
        <w:rPr>
          <w:rFonts w:hint="eastAsia" w:ascii="宋体" w:hAnsi="宋体" w:eastAsia="宋体" w:cs="宋体"/>
          <w:b/>
          <w:bCs/>
          <w:kern w:val="2"/>
          <w:sz w:val="44"/>
          <w:szCs w:val="44"/>
          <w:lang w:val="en-US" w:eastAsia="zh-CN" w:bidi="ar-SA"/>
        </w:rPr>
      </w:pPr>
    </w:p>
    <w:p w14:paraId="19F0245E">
      <w:pPr>
        <w:rPr>
          <w:rFonts w:hint="eastAsia" w:ascii="宋体" w:hAnsi="宋体" w:eastAsia="宋体" w:cs="宋体"/>
          <w:b/>
          <w:bCs/>
          <w:kern w:val="2"/>
          <w:sz w:val="44"/>
          <w:szCs w:val="44"/>
          <w:lang w:val="en-US" w:eastAsia="zh-CN" w:bidi="ar-SA"/>
        </w:rPr>
      </w:pPr>
    </w:p>
    <w:p w14:paraId="24A3ECD6">
      <w:pPr>
        <w:rPr>
          <w:rFonts w:hint="eastAsia" w:ascii="宋体" w:hAnsi="宋体" w:eastAsia="宋体" w:cs="宋体"/>
          <w:b/>
          <w:bCs/>
          <w:kern w:val="2"/>
          <w:sz w:val="44"/>
          <w:szCs w:val="44"/>
          <w:lang w:val="en-US" w:eastAsia="zh-CN" w:bidi="ar-SA"/>
        </w:rPr>
      </w:pPr>
    </w:p>
    <w:p w14:paraId="1CA69F95">
      <w:pPr>
        <w:rPr>
          <w:rFonts w:hint="eastAsia" w:ascii="宋体" w:hAnsi="宋体" w:eastAsia="宋体" w:cs="宋体"/>
          <w:b/>
          <w:bCs/>
          <w:kern w:val="2"/>
          <w:sz w:val="44"/>
          <w:szCs w:val="44"/>
          <w:lang w:val="en-US" w:eastAsia="zh-CN" w:bidi="ar-SA"/>
        </w:rPr>
      </w:pPr>
    </w:p>
    <w:p w14:paraId="42B11FE6">
      <w:pPr>
        <w:spacing w:line="360" w:lineRule="auto"/>
        <w:jc w:val="left"/>
        <w:rPr>
          <w:rFonts w:hint="eastAsia" w:asciiTheme="minorEastAsia" w:hAnsiTheme="minorEastAsia" w:eastAsiaTheme="minorEastAsia"/>
          <w:b/>
          <w:color w:val="auto"/>
          <w:sz w:val="24"/>
          <w:highlight w:val="none"/>
          <w:lang w:val="en-US" w:eastAsia="zh-CN"/>
        </w:rPr>
      </w:pPr>
    </w:p>
    <w:p w14:paraId="3AA4389D">
      <w:pPr>
        <w:spacing w:line="360" w:lineRule="auto"/>
        <w:jc w:val="left"/>
        <w:rPr>
          <w:rFonts w:hint="default"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附件一</w:t>
      </w:r>
    </w:p>
    <w:p w14:paraId="3B1D6B2F">
      <w:pPr>
        <w:spacing w:line="360" w:lineRule="auto"/>
        <w:jc w:val="center"/>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中山市小榄人民医院餐饮服务质量监督考评表</w:t>
      </w:r>
    </w:p>
    <w:tbl>
      <w:tblPr>
        <w:tblStyle w:val="21"/>
        <w:tblW w:w="10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5098"/>
        <w:gridCol w:w="690"/>
        <w:gridCol w:w="2999"/>
        <w:gridCol w:w="641"/>
      </w:tblGrid>
      <w:tr w14:paraId="03E69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763" w:type="dxa"/>
            <w:shd w:val="clear" w:color="000000" w:fill="FFFFFF"/>
            <w:vAlign w:val="center"/>
          </w:tcPr>
          <w:p w14:paraId="6DE8FF53">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项目</w:t>
            </w:r>
          </w:p>
        </w:tc>
        <w:tc>
          <w:tcPr>
            <w:tcW w:w="5098" w:type="dxa"/>
            <w:shd w:val="clear" w:color="000000" w:fill="FFFFFF"/>
            <w:vAlign w:val="center"/>
          </w:tcPr>
          <w:p w14:paraId="73371DA6">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质量标准</w:t>
            </w:r>
          </w:p>
        </w:tc>
        <w:tc>
          <w:tcPr>
            <w:tcW w:w="690" w:type="dxa"/>
            <w:shd w:val="clear" w:color="000000" w:fill="FFFFFF"/>
            <w:vAlign w:val="center"/>
          </w:tcPr>
          <w:p w14:paraId="18C6BB09">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分值</w:t>
            </w:r>
            <w:r>
              <w:rPr>
                <w:rFonts w:hint="eastAsia" w:cs="宋体" w:asciiTheme="majorEastAsia" w:hAnsiTheme="majorEastAsia" w:eastAsiaTheme="majorEastAsia"/>
                <w:b/>
                <w:color w:val="auto"/>
                <w:kern w:val="0"/>
                <w:sz w:val="18"/>
                <w:szCs w:val="18"/>
                <w:highlight w:val="none"/>
              </w:rPr>
              <w:t>(分)</w:t>
            </w:r>
          </w:p>
        </w:tc>
        <w:tc>
          <w:tcPr>
            <w:tcW w:w="2999" w:type="dxa"/>
            <w:shd w:val="clear" w:color="auto" w:fill="auto"/>
            <w:vAlign w:val="center"/>
          </w:tcPr>
          <w:p w14:paraId="58D2FB8A">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考核方法</w:t>
            </w:r>
          </w:p>
        </w:tc>
        <w:tc>
          <w:tcPr>
            <w:tcW w:w="641" w:type="dxa"/>
            <w:shd w:val="clear" w:color="auto" w:fill="auto"/>
            <w:vAlign w:val="center"/>
          </w:tcPr>
          <w:p w14:paraId="542F2662">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考核结果</w:t>
            </w:r>
          </w:p>
        </w:tc>
      </w:tr>
      <w:tr w14:paraId="0A5F6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63" w:type="dxa"/>
            <w:vMerge w:val="restart"/>
            <w:shd w:val="clear" w:color="000000" w:fill="FFFFFF"/>
            <w:vAlign w:val="center"/>
          </w:tcPr>
          <w:p w14:paraId="5A04226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一、公司管理(10分）</w:t>
            </w:r>
          </w:p>
        </w:tc>
        <w:tc>
          <w:tcPr>
            <w:tcW w:w="5098" w:type="dxa"/>
            <w:shd w:val="clear" w:color="000000" w:fill="FFFFFF"/>
            <w:vAlign w:val="center"/>
          </w:tcPr>
          <w:p w14:paraId="28ADF1FA">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b/>
                <w:bCs/>
                <w:color w:val="auto"/>
                <w:sz w:val="18"/>
                <w:szCs w:val="18"/>
                <w:highlight w:val="none"/>
              </w:rPr>
              <w:t>1.管理人员在岗情况：</w:t>
            </w:r>
            <w:r>
              <w:rPr>
                <w:rFonts w:hint="eastAsia" w:asciiTheme="majorEastAsia" w:hAnsiTheme="majorEastAsia" w:eastAsiaTheme="majorEastAsia"/>
                <w:color w:val="auto"/>
                <w:sz w:val="18"/>
                <w:szCs w:val="18"/>
                <w:highlight w:val="none"/>
              </w:rPr>
              <w:t>项目经理及主管要坚守工作岗位，在工作日请假休息或途中离开医院的，应向医院主管部门报备并做好工作安排，管理人员</w:t>
            </w:r>
            <w:r>
              <w:rPr>
                <w:rFonts w:hint="eastAsia" w:ascii="宋体" w:hAnsi="宋体" w:cs="宋体"/>
                <w:color w:val="auto"/>
                <w:sz w:val="18"/>
                <w:szCs w:val="18"/>
                <w:highlight w:val="none"/>
                <w:lang w:val="en-US" w:eastAsia="zh-CN"/>
              </w:rPr>
              <w:t>每年</w:t>
            </w:r>
            <w:r>
              <w:rPr>
                <w:rFonts w:hint="eastAsia" w:asciiTheme="majorEastAsia" w:hAnsiTheme="majorEastAsia" w:eastAsiaTheme="majorEastAsia"/>
                <w:color w:val="auto"/>
                <w:sz w:val="18"/>
                <w:szCs w:val="18"/>
                <w:highlight w:val="none"/>
              </w:rPr>
              <w:t>离开医院累积时间不得超过10天（正常休息日除外），接受</w:t>
            </w:r>
            <w:r>
              <w:rPr>
                <w:rFonts w:hint="eastAsia" w:ascii="宋体" w:hAnsi="宋体" w:cs="宋体"/>
                <w:color w:val="auto"/>
                <w:sz w:val="18"/>
                <w:szCs w:val="18"/>
                <w:highlight w:val="none"/>
                <w:lang w:val="en-US" w:eastAsia="zh-CN"/>
              </w:rPr>
              <w:t>主管部门</w:t>
            </w:r>
            <w:r>
              <w:rPr>
                <w:rFonts w:hint="eastAsia" w:asciiTheme="majorEastAsia" w:hAnsiTheme="majorEastAsia" w:eastAsiaTheme="majorEastAsia"/>
                <w:color w:val="auto"/>
                <w:sz w:val="18"/>
                <w:szCs w:val="18"/>
                <w:highlight w:val="none"/>
              </w:rPr>
              <w:t>统一微信共享定位查岗。</w:t>
            </w:r>
          </w:p>
        </w:tc>
        <w:tc>
          <w:tcPr>
            <w:tcW w:w="690" w:type="dxa"/>
            <w:shd w:val="clear" w:color="000000" w:fill="FFFFFF"/>
            <w:vAlign w:val="center"/>
          </w:tcPr>
          <w:p w14:paraId="2C70D2D8">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w:t>
            </w:r>
          </w:p>
        </w:tc>
        <w:tc>
          <w:tcPr>
            <w:tcW w:w="2999" w:type="dxa"/>
            <w:shd w:val="clear" w:color="auto" w:fill="auto"/>
            <w:vAlign w:val="center"/>
          </w:tcPr>
          <w:p w14:paraId="586CFFC0">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管理人员无故离岗或休息不向医院主管部门报备的，一次扣1分；如因管理人员休息而工作安排不到位导致不良后果的，扣减100元/次。</w:t>
            </w:r>
          </w:p>
        </w:tc>
        <w:tc>
          <w:tcPr>
            <w:tcW w:w="641" w:type="dxa"/>
            <w:shd w:val="clear" w:color="auto" w:fill="auto"/>
          </w:tcPr>
          <w:p w14:paraId="07618F01">
            <w:pPr>
              <w:widowControl/>
              <w:jc w:val="left"/>
              <w:rPr>
                <w:rFonts w:asciiTheme="majorEastAsia" w:hAnsiTheme="majorEastAsia" w:eastAsiaTheme="majorEastAsia"/>
                <w:color w:val="auto"/>
                <w:kern w:val="0"/>
                <w:sz w:val="20"/>
                <w:szCs w:val="20"/>
                <w:highlight w:val="none"/>
              </w:rPr>
            </w:pPr>
          </w:p>
        </w:tc>
      </w:tr>
      <w:tr w14:paraId="41BD6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63" w:type="dxa"/>
            <w:vMerge w:val="continue"/>
            <w:vAlign w:val="center"/>
          </w:tcPr>
          <w:p w14:paraId="0D78F076">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68DB35D4">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b/>
                <w:bCs/>
                <w:color w:val="auto"/>
                <w:sz w:val="18"/>
                <w:szCs w:val="18"/>
                <w:highlight w:val="none"/>
              </w:rPr>
              <w:t>2.提交工作资料：</w:t>
            </w:r>
            <w:r>
              <w:rPr>
                <w:rFonts w:hint="eastAsia" w:asciiTheme="majorEastAsia" w:hAnsiTheme="majorEastAsia" w:eastAsiaTheme="majorEastAsia"/>
                <w:color w:val="auto"/>
                <w:sz w:val="18"/>
                <w:szCs w:val="18"/>
                <w:highlight w:val="none"/>
              </w:rPr>
              <w:t>项目经理应按时交月总结（含上月存在问题和改进措施落实情况、工作亮点与不足等）及月计划（包括月岗位配置、员工变动）等资料。医院主管部门有权根据工作需要查阅公司的岗位职责、操作流程、工作质量标准及培训资料等内容。</w:t>
            </w:r>
          </w:p>
        </w:tc>
        <w:tc>
          <w:tcPr>
            <w:tcW w:w="690" w:type="dxa"/>
            <w:shd w:val="clear" w:color="000000" w:fill="FFFFFF"/>
            <w:vAlign w:val="center"/>
          </w:tcPr>
          <w:p w14:paraId="0DF7EAF2">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3</w:t>
            </w:r>
          </w:p>
        </w:tc>
        <w:tc>
          <w:tcPr>
            <w:tcW w:w="2999" w:type="dxa"/>
            <w:shd w:val="clear" w:color="auto" w:fill="auto"/>
            <w:vAlign w:val="center"/>
          </w:tcPr>
          <w:p w14:paraId="2D5C203F">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公司未按时交齐相关资料的或拒绝配合医院主管部门检查的，扣1分/次，扣完为止。</w:t>
            </w:r>
          </w:p>
        </w:tc>
        <w:tc>
          <w:tcPr>
            <w:tcW w:w="641" w:type="dxa"/>
            <w:shd w:val="clear" w:color="auto" w:fill="auto"/>
          </w:tcPr>
          <w:p w14:paraId="34316D61">
            <w:pPr>
              <w:widowControl/>
              <w:jc w:val="left"/>
              <w:rPr>
                <w:rFonts w:asciiTheme="majorEastAsia" w:hAnsiTheme="majorEastAsia" w:eastAsiaTheme="majorEastAsia"/>
                <w:color w:val="auto"/>
                <w:kern w:val="0"/>
                <w:sz w:val="20"/>
                <w:szCs w:val="20"/>
                <w:highlight w:val="none"/>
              </w:rPr>
            </w:pPr>
          </w:p>
        </w:tc>
      </w:tr>
      <w:tr w14:paraId="071FC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763" w:type="dxa"/>
            <w:vMerge w:val="continue"/>
            <w:vAlign w:val="center"/>
          </w:tcPr>
          <w:p w14:paraId="0E2B559A">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4A583348">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b/>
                <w:bCs/>
                <w:color w:val="auto"/>
                <w:sz w:val="18"/>
                <w:szCs w:val="18"/>
                <w:highlight w:val="none"/>
              </w:rPr>
              <w:t>3.员工培训：</w:t>
            </w:r>
            <w:r>
              <w:rPr>
                <w:rFonts w:hint="eastAsia" w:asciiTheme="majorEastAsia" w:hAnsiTheme="majorEastAsia" w:eastAsiaTheme="majorEastAsia"/>
                <w:color w:val="auto"/>
                <w:sz w:val="18"/>
                <w:szCs w:val="18"/>
                <w:highlight w:val="none"/>
              </w:rPr>
              <w:t>公司有食品安全培训计划并针对员工实施，定期开展应急演练（</w:t>
            </w:r>
            <w:r>
              <w:rPr>
                <w:rFonts w:hint="eastAsia" w:ascii="宋体" w:hAnsi="宋体" w:cs="宋体"/>
                <w:color w:val="auto"/>
                <w:sz w:val="18"/>
                <w:szCs w:val="18"/>
                <w:highlight w:val="none"/>
                <w:lang w:val="en-US" w:eastAsia="zh-CN"/>
              </w:rPr>
              <w:t>食品安全、消防</w:t>
            </w:r>
            <w:r>
              <w:rPr>
                <w:rFonts w:hint="eastAsia" w:asciiTheme="majorEastAsia" w:hAnsiTheme="majorEastAsia" w:eastAsiaTheme="majorEastAsia"/>
                <w:color w:val="auto"/>
                <w:sz w:val="18"/>
                <w:szCs w:val="18"/>
                <w:highlight w:val="none"/>
              </w:rPr>
              <w:t>等），员工熟悉本职工作职责和流程、相关法律法规、应急预案和处理方法、消防知识等，应急处理培训合格率达100%。新入职员工应培训合格方可单独上岗。</w:t>
            </w:r>
          </w:p>
        </w:tc>
        <w:tc>
          <w:tcPr>
            <w:tcW w:w="690" w:type="dxa"/>
            <w:shd w:val="clear" w:color="000000" w:fill="FFFFFF"/>
            <w:vAlign w:val="center"/>
          </w:tcPr>
          <w:p w14:paraId="343B6507">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w:t>
            </w:r>
          </w:p>
        </w:tc>
        <w:tc>
          <w:tcPr>
            <w:tcW w:w="2999" w:type="dxa"/>
            <w:shd w:val="clear" w:color="auto" w:fill="auto"/>
            <w:vAlign w:val="center"/>
          </w:tcPr>
          <w:p w14:paraId="5411B864">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无落实培训计划或无应急演练的，缺一次扣1分；抽问4名员工，对岗位职责、工作流程、应急处理预案、消防知识等内容不熟悉的，扣0.5分/人。新入职员工未经培训或培训后不熟悉工作要求和流程而单独上岗的，扣减100元/次。</w:t>
            </w:r>
          </w:p>
        </w:tc>
        <w:tc>
          <w:tcPr>
            <w:tcW w:w="641" w:type="dxa"/>
            <w:shd w:val="clear" w:color="auto" w:fill="auto"/>
          </w:tcPr>
          <w:p w14:paraId="49B26B38">
            <w:pPr>
              <w:widowControl/>
              <w:jc w:val="left"/>
              <w:rPr>
                <w:rFonts w:asciiTheme="majorEastAsia" w:hAnsiTheme="majorEastAsia" w:eastAsiaTheme="majorEastAsia"/>
                <w:color w:val="auto"/>
                <w:kern w:val="0"/>
                <w:sz w:val="20"/>
                <w:szCs w:val="20"/>
                <w:highlight w:val="none"/>
              </w:rPr>
            </w:pPr>
          </w:p>
        </w:tc>
      </w:tr>
      <w:tr w14:paraId="74033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3" w:type="dxa"/>
            <w:vMerge w:val="continue"/>
            <w:vAlign w:val="center"/>
          </w:tcPr>
          <w:p w14:paraId="38462A95">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5EFB4437">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b/>
                <w:bCs/>
                <w:color w:val="auto"/>
                <w:sz w:val="18"/>
                <w:szCs w:val="18"/>
                <w:highlight w:val="none"/>
              </w:rPr>
              <w:t>4.质量持续改进：</w:t>
            </w:r>
            <w:r>
              <w:rPr>
                <w:rFonts w:hint="eastAsia" w:asciiTheme="majorEastAsia" w:hAnsiTheme="majorEastAsia" w:eastAsiaTheme="majorEastAsia"/>
                <w:color w:val="auto"/>
                <w:sz w:val="18"/>
                <w:szCs w:val="18"/>
                <w:highlight w:val="none"/>
              </w:rPr>
              <w:t>公司对客户提出的问题及时改进，投诉处理率为100%。发生不良事件时，应在1小时内采取补救措施将影响降到最低，处理结束后，填《不良事件登记表》</w:t>
            </w:r>
            <w:r>
              <w:rPr>
                <w:rFonts w:hint="eastAsia" w:asciiTheme="majorEastAsia" w:hAnsiTheme="majorEastAsia" w:eastAsiaTheme="majorEastAsia"/>
                <w:color w:val="auto"/>
                <w:sz w:val="18"/>
                <w:szCs w:val="18"/>
                <w:highlight w:val="none"/>
                <w:lang w:eastAsia="zh-CN"/>
              </w:rPr>
              <w:t>并对</w:t>
            </w:r>
            <w:r>
              <w:rPr>
                <w:rFonts w:hint="eastAsia" w:asciiTheme="majorEastAsia" w:hAnsiTheme="majorEastAsia" w:eastAsiaTheme="majorEastAsia"/>
                <w:color w:val="auto"/>
                <w:sz w:val="18"/>
                <w:szCs w:val="18"/>
                <w:highlight w:val="none"/>
              </w:rPr>
              <w:t>发生原因进行分析并持续改进，在一周内将填写完整的《不良事件登记表》提交主管部门报备，改进措施有效，因公司责任导致的同类不良事件不得出现两次。如收到员工反映问题应书面回复改进措施；如收到医院发出的整改通知函，应按期整改并提交整改意见</w:t>
            </w:r>
          </w:p>
        </w:tc>
        <w:tc>
          <w:tcPr>
            <w:tcW w:w="690" w:type="dxa"/>
            <w:shd w:val="clear" w:color="000000" w:fill="FFFFFF"/>
            <w:vAlign w:val="center"/>
          </w:tcPr>
          <w:p w14:paraId="24780CAF">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3</w:t>
            </w:r>
          </w:p>
        </w:tc>
        <w:tc>
          <w:tcPr>
            <w:tcW w:w="2999" w:type="dxa"/>
            <w:shd w:val="clear" w:color="auto" w:fill="auto"/>
            <w:vAlign w:val="center"/>
          </w:tcPr>
          <w:p w14:paraId="1B06460B">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未按要求处理或改进的，扣1分/次，未填写登记表并提交整改意见的，扣1次/次；如果因公司责任再次发生同类不良事件的，扣3分/项，扣完为止。</w:t>
            </w:r>
          </w:p>
        </w:tc>
        <w:tc>
          <w:tcPr>
            <w:tcW w:w="641" w:type="dxa"/>
            <w:shd w:val="clear" w:color="auto" w:fill="auto"/>
          </w:tcPr>
          <w:p w14:paraId="627E2DB7">
            <w:pPr>
              <w:widowControl/>
              <w:jc w:val="left"/>
              <w:rPr>
                <w:rFonts w:asciiTheme="majorEastAsia" w:hAnsiTheme="majorEastAsia" w:eastAsiaTheme="majorEastAsia"/>
                <w:color w:val="auto"/>
                <w:kern w:val="0"/>
                <w:sz w:val="20"/>
                <w:szCs w:val="20"/>
                <w:highlight w:val="none"/>
              </w:rPr>
            </w:pPr>
          </w:p>
        </w:tc>
      </w:tr>
      <w:tr w14:paraId="54BBE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63" w:type="dxa"/>
            <w:vMerge w:val="restart"/>
            <w:vAlign w:val="center"/>
          </w:tcPr>
          <w:p w14:paraId="49033A6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二、满意度调查（20分）</w:t>
            </w:r>
          </w:p>
        </w:tc>
        <w:tc>
          <w:tcPr>
            <w:tcW w:w="5098" w:type="dxa"/>
            <w:shd w:val="clear" w:color="000000" w:fill="FFFFFF"/>
            <w:vAlign w:val="center"/>
          </w:tcPr>
          <w:p w14:paraId="0790FD49">
            <w:pPr>
              <w:rPr>
                <w:rFonts w:hint="eastAsia" w:cs="宋体" w:asciiTheme="majorEastAsia" w:hAnsiTheme="majorEastAsia" w:eastAsiaTheme="majorEastAsia"/>
                <w:color w:val="auto"/>
                <w:sz w:val="18"/>
                <w:szCs w:val="18"/>
                <w:highlight w:val="none"/>
                <w:lang w:eastAsia="zh-CN"/>
              </w:rPr>
            </w:pPr>
            <w:r>
              <w:rPr>
                <w:rFonts w:hint="eastAsia" w:asciiTheme="majorEastAsia" w:hAnsiTheme="majorEastAsia" w:eastAsiaTheme="majorEastAsia"/>
                <w:color w:val="auto"/>
                <w:sz w:val="18"/>
                <w:szCs w:val="18"/>
                <w:highlight w:val="none"/>
              </w:rPr>
              <w:t>1.</w:t>
            </w:r>
            <w:r>
              <w:rPr>
                <w:rFonts w:hint="eastAsia" w:asciiTheme="majorEastAsia" w:hAnsiTheme="majorEastAsia" w:eastAsiaTheme="majorEastAsia"/>
                <w:color w:val="auto"/>
                <w:sz w:val="18"/>
                <w:szCs w:val="18"/>
                <w:highlight w:val="none"/>
                <w:lang w:eastAsia="zh-CN"/>
              </w:rPr>
              <w:t>每月</w:t>
            </w:r>
            <w:r>
              <w:rPr>
                <w:rFonts w:hint="eastAsia" w:asciiTheme="majorEastAsia" w:hAnsiTheme="majorEastAsia" w:eastAsiaTheme="majorEastAsia"/>
                <w:color w:val="auto"/>
                <w:sz w:val="18"/>
                <w:szCs w:val="18"/>
                <w:highlight w:val="none"/>
              </w:rPr>
              <w:t>根据</w:t>
            </w:r>
            <w:r>
              <w:rPr>
                <w:rFonts w:hint="eastAsia" w:asciiTheme="majorEastAsia" w:hAnsiTheme="majorEastAsia" w:eastAsiaTheme="majorEastAsia"/>
                <w:color w:val="auto"/>
                <w:sz w:val="18"/>
                <w:szCs w:val="18"/>
                <w:highlight w:val="none"/>
                <w:lang w:val="en-US" w:eastAsia="zh-CN"/>
              </w:rPr>
              <w:t>医院</w:t>
            </w:r>
            <w:r>
              <w:rPr>
                <w:rFonts w:hint="eastAsia" w:asciiTheme="majorEastAsia" w:hAnsiTheme="majorEastAsia" w:eastAsiaTheme="majorEastAsia"/>
                <w:color w:val="auto"/>
                <w:sz w:val="18"/>
                <w:szCs w:val="18"/>
                <w:highlight w:val="none"/>
              </w:rPr>
              <w:t>满意度调查表分别对医院工作人员、患者进行满意度调查，要求</w:t>
            </w:r>
            <w:r>
              <w:rPr>
                <w:rFonts w:hint="eastAsia" w:asciiTheme="majorEastAsia" w:hAnsiTheme="majorEastAsia" w:eastAsiaTheme="majorEastAsia"/>
                <w:color w:val="auto"/>
                <w:sz w:val="18"/>
                <w:szCs w:val="18"/>
                <w:highlight w:val="none"/>
                <w:lang w:val="en-US" w:eastAsia="zh-CN"/>
              </w:rPr>
              <w:t>患者</w:t>
            </w:r>
            <w:r>
              <w:rPr>
                <w:rFonts w:hint="eastAsia" w:asciiTheme="majorEastAsia" w:hAnsiTheme="majorEastAsia" w:eastAsiaTheme="majorEastAsia"/>
                <w:color w:val="auto"/>
                <w:sz w:val="18"/>
                <w:szCs w:val="18"/>
                <w:highlight w:val="none"/>
              </w:rPr>
              <w:t>服务满意度≥</w:t>
            </w:r>
            <w:r>
              <w:rPr>
                <w:rFonts w:hint="eastAsia" w:asciiTheme="majorEastAsia" w:hAnsiTheme="majorEastAsia" w:eastAsiaTheme="majorEastAsia"/>
                <w:color w:val="auto"/>
                <w:sz w:val="18"/>
                <w:szCs w:val="18"/>
                <w:highlight w:val="none"/>
                <w:lang w:val="en-US" w:eastAsia="zh-CN"/>
              </w:rPr>
              <w:t>85</w:t>
            </w:r>
            <w:r>
              <w:rPr>
                <w:rFonts w:hint="eastAsia" w:asciiTheme="majorEastAsia" w:hAnsiTheme="majorEastAsia" w:eastAsiaTheme="majorEastAsia"/>
                <w:color w:val="auto"/>
                <w:sz w:val="18"/>
                <w:szCs w:val="18"/>
                <w:highlight w:val="none"/>
              </w:rPr>
              <w:t>%</w:t>
            </w:r>
            <w:r>
              <w:rPr>
                <w:rFonts w:hint="eastAsia" w:asciiTheme="majorEastAsia" w:hAnsiTheme="majorEastAsia" w:eastAsiaTheme="majorEastAsia"/>
                <w:color w:val="auto"/>
                <w:sz w:val="18"/>
                <w:szCs w:val="18"/>
                <w:highlight w:val="none"/>
                <w:lang w:eastAsia="zh-CN"/>
              </w:rPr>
              <w:t>，</w:t>
            </w:r>
            <w:r>
              <w:rPr>
                <w:rFonts w:hint="eastAsia" w:asciiTheme="majorEastAsia" w:hAnsiTheme="majorEastAsia" w:eastAsiaTheme="majorEastAsia"/>
                <w:color w:val="auto"/>
                <w:sz w:val="18"/>
                <w:szCs w:val="18"/>
                <w:highlight w:val="none"/>
                <w:lang w:val="en-US" w:eastAsia="zh-CN"/>
              </w:rPr>
              <w:t>职工满意度≥85%</w:t>
            </w:r>
            <w:r>
              <w:rPr>
                <w:rFonts w:hint="eastAsia" w:asciiTheme="majorEastAsia" w:hAnsiTheme="majorEastAsia" w:eastAsiaTheme="majorEastAsia"/>
                <w:color w:val="auto"/>
                <w:sz w:val="18"/>
                <w:szCs w:val="18"/>
                <w:highlight w:val="none"/>
                <w:lang w:eastAsia="zh-CN"/>
              </w:rPr>
              <w:t>。</w:t>
            </w:r>
          </w:p>
        </w:tc>
        <w:tc>
          <w:tcPr>
            <w:tcW w:w="690" w:type="dxa"/>
            <w:shd w:val="clear" w:color="000000" w:fill="FFFFFF"/>
            <w:vAlign w:val="center"/>
          </w:tcPr>
          <w:p w14:paraId="6FA76CEF">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18</w:t>
            </w:r>
          </w:p>
        </w:tc>
        <w:tc>
          <w:tcPr>
            <w:tcW w:w="2999" w:type="dxa"/>
            <w:shd w:val="clear" w:color="auto" w:fill="auto"/>
            <w:vAlign w:val="center"/>
          </w:tcPr>
          <w:p w14:paraId="05C1DFEC">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由医院</w:t>
            </w:r>
            <w:r>
              <w:rPr>
                <w:rFonts w:hint="eastAsia" w:asciiTheme="majorEastAsia" w:hAnsiTheme="majorEastAsia" w:eastAsiaTheme="majorEastAsia"/>
                <w:color w:val="auto"/>
                <w:sz w:val="18"/>
                <w:szCs w:val="18"/>
                <w:highlight w:val="none"/>
                <w:lang w:val="en-US" w:eastAsia="zh-CN"/>
              </w:rPr>
              <w:t>院办</w:t>
            </w:r>
            <w:r>
              <w:rPr>
                <w:rFonts w:hint="eastAsia" w:asciiTheme="majorEastAsia" w:hAnsiTheme="majorEastAsia" w:eastAsiaTheme="majorEastAsia"/>
                <w:color w:val="auto"/>
                <w:sz w:val="18"/>
                <w:szCs w:val="18"/>
                <w:highlight w:val="none"/>
              </w:rPr>
              <w:t>每月分别发放医院工作人员、患者和家属满意度调查表（随机），统计满意率，满意率在</w:t>
            </w:r>
            <w:r>
              <w:rPr>
                <w:rFonts w:hint="eastAsia" w:asciiTheme="majorEastAsia" w:hAnsiTheme="majorEastAsia" w:eastAsiaTheme="majorEastAsia"/>
                <w:color w:val="auto"/>
                <w:sz w:val="18"/>
                <w:szCs w:val="18"/>
                <w:highlight w:val="none"/>
                <w:lang w:val="en-US" w:eastAsia="zh-CN"/>
              </w:rPr>
              <w:t>80</w:t>
            </w:r>
            <w:r>
              <w:rPr>
                <w:rFonts w:hint="eastAsia" w:asciiTheme="majorEastAsia" w:hAnsiTheme="majorEastAsia" w:eastAsiaTheme="majorEastAsia"/>
                <w:color w:val="auto"/>
                <w:sz w:val="18"/>
                <w:szCs w:val="18"/>
                <w:highlight w:val="none"/>
              </w:rPr>
              <w:t>%</w:t>
            </w:r>
            <w:r>
              <w:rPr>
                <w:rFonts w:hint="eastAsia" w:asciiTheme="majorEastAsia" w:hAnsiTheme="majorEastAsia" w:eastAsiaTheme="majorEastAsia"/>
                <w:color w:val="auto"/>
                <w:sz w:val="18"/>
                <w:szCs w:val="18"/>
                <w:highlight w:val="none"/>
                <w:lang w:eastAsia="zh-CN"/>
              </w:rPr>
              <w:t>～</w:t>
            </w:r>
            <w:r>
              <w:rPr>
                <w:rFonts w:hint="eastAsia" w:asciiTheme="majorEastAsia" w:hAnsiTheme="majorEastAsia" w:eastAsiaTheme="majorEastAsia"/>
                <w:color w:val="auto"/>
                <w:sz w:val="18"/>
                <w:szCs w:val="18"/>
                <w:highlight w:val="none"/>
              </w:rPr>
              <w:t>8</w:t>
            </w:r>
            <w:r>
              <w:rPr>
                <w:rFonts w:hint="eastAsia" w:asciiTheme="majorEastAsia" w:hAnsiTheme="majorEastAsia" w:eastAsiaTheme="majorEastAsia"/>
                <w:color w:val="auto"/>
                <w:sz w:val="18"/>
                <w:szCs w:val="18"/>
                <w:highlight w:val="none"/>
                <w:lang w:val="en-US" w:eastAsia="zh-CN"/>
              </w:rPr>
              <w:t>5</w:t>
            </w:r>
            <w:r>
              <w:rPr>
                <w:rFonts w:hint="eastAsia" w:asciiTheme="majorEastAsia" w:hAnsiTheme="majorEastAsia" w:eastAsiaTheme="majorEastAsia"/>
                <w:color w:val="auto"/>
                <w:sz w:val="18"/>
                <w:szCs w:val="18"/>
                <w:highlight w:val="none"/>
                <w:lang w:eastAsia="zh-CN"/>
              </w:rPr>
              <w:t>%</w:t>
            </w:r>
            <w:r>
              <w:rPr>
                <w:rFonts w:hint="eastAsia" w:asciiTheme="majorEastAsia" w:hAnsiTheme="majorEastAsia" w:eastAsiaTheme="majorEastAsia"/>
                <w:color w:val="auto"/>
                <w:sz w:val="18"/>
                <w:szCs w:val="18"/>
                <w:highlight w:val="none"/>
              </w:rPr>
              <w:t>的，公司应限期整改，因公司责任而整改无效的（同类问题三次出现的），每项扣</w:t>
            </w:r>
            <w:r>
              <w:rPr>
                <w:rFonts w:hint="eastAsia" w:asciiTheme="majorEastAsia" w:hAnsiTheme="majorEastAsia" w:eastAsiaTheme="majorEastAsia"/>
                <w:color w:val="auto"/>
                <w:sz w:val="18"/>
                <w:szCs w:val="18"/>
                <w:highlight w:val="none"/>
                <w:lang w:val="en-US" w:eastAsia="zh-CN"/>
              </w:rPr>
              <w:t>2</w:t>
            </w:r>
            <w:r>
              <w:rPr>
                <w:rFonts w:hint="eastAsia" w:asciiTheme="majorEastAsia" w:hAnsiTheme="majorEastAsia" w:eastAsiaTheme="majorEastAsia"/>
                <w:color w:val="auto"/>
                <w:sz w:val="18"/>
                <w:szCs w:val="18"/>
                <w:highlight w:val="none"/>
              </w:rPr>
              <w:t>分；满意率在</w:t>
            </w:r>
            <w:r>
              <w:rPr>
                <w:rFonts w:hint="eastAsia" w:asciiTheme="majorEastAsia" w:hAnsiTheme="majorEastAsia" w:eastAsiaTheme="majorEastAsia"/>
                <w:color w:val="auto"/>
                <w:sz w:val="18"/>
                <w:szCs w:val="18"/>
                <w:highlight w:val="none"/>
                <w:lang w:val="en-US" w:eastAsia="zh-CN"/>
              </w:rPr>
              <w:t>75</w:t>
            </w:r>
            <w:r>
              <w:rPr>
                <w:rFonts w:hint="eastAsia" w:asciiTheme="majorEastAsia" w:hAnsiTheme="majorEastAsia" w:eastAsiaTheme="majorEastAsia"/>
                <w:color w:val="auto"/>
                <w:sz w:val="18"/>
                <w:szCs w:val="18"/>
                <w:highlight w:val="none"/>
              </w:rPr>
              <w:t>%</w:t>
            </w:r>
            <w:r>
              <w:rPr>
                <w:rFonts w:hint="eastAsia" w:asciiTheme="majorEastAsia" w:hAnsiTheme="majorEastAsia" w:eastAsiaTheme="majorEastAsia"/>
                <w:color w:val="auto"/>
                <w:sz w:val="18"/>
                <w:szCs w:val="18"/>
                <w:highlight w:val="none"/>
                <w:lang w:eastAsia="zh-CN"/>
              </w:rPr>
              <w:t>～</w:t>
            </w:r>
            <w:r>
              <w:rPr>
                <w:rFonts w:hint="eastAsia" w:asciiTheme="majorEastAsia" w:hAnsiTheme="majorEastAsia" w:eastAsiaTheme="majorEastAsia"/>
                <w:color w:val="auto"/>
                <w:sz w:val="18"/>
                <w:szCs w:val="18"/>
                <w:highlight w:val="none"/>
                <w:lang w:val="en-US" w:eastAsia="zh-CN"/>
              </w:rPr>
              <w:t>79</w:t>
            </w:r>
            <w:r>
              <w:rPr>
                <w:rFonts w:hint="eastAsia" w:asciiTheme="majorEastAsia" w:hAnsiTheme="majorEastAsia" w:eastAsiaTheme="majorEastAsia"/>
                <w:color w:val="auto"/>
                <w:sz w:val="18"/>
                <w:szCs w:val="18"/>
                <w:highlight w:val="none"/>
              </w:rPr>
              <w:t>%，每少1%扣</w:t>
            </w:r>
            <w:r>
              <w:rPr>
                <w:rFonts w:hint="eastAsia" w:asciiTheme="majorEastAsia" w:hAnsiTheme="majorEastAsia" w:eastAsiaTheme="majorEastAsia"/>
                <w:color w:val="auto"/>
                <w:sz w:val="18"/>
                <w:szCs w:val="18"/>
                <w:highlight w:val="none"/>
                <w:lang w:val="en-US" w:eastAsia="zh-CN"/>
              </w:rPr>
              <w:t>5</w:t>
            </w:r>
            <w:r>
              <w:rPr>
                <w:rFonts w:hint="eastAsia" w:asciiTheme="majorEastAsia" w:hAnsiTheme="majorEastAsia" w:eastAsiaTheme="majorEastAsia"/>
                <w:color w:val="auto"/>
                <w:sz w:val="18"/>
                <w:szCs w:val="18"/>
                <w:highlight w:val="none"/>
              </w:rPr>
              <w:t>分，在7</w:t>
            </w:r>
            <w:r>
              <w:rPr>
                <w:rFonts w:hint="eastAsia" w:asciiTheme="majorEastAsia" w:hAnsiTheme="majorEastAsia" w:eastAsiaTheme="majorEastAsia"/>
                <w:color w:val="auto"/>
                <w:sz w:val="18"/>
                <w:szCs w:val="18"/>
                <w:highlight w:val="none"/>
                <w:lang w:val="en-US" w:eastAsia="zh-CN"/>
              </w:rPr>
              <w:t>5</w:t>
            </w:r>
            <w:r>
              <w:rPr>
                <w:rFonts w:hint="eastAsia" w:asciiTheme="majorEastAsia" w:hAnsiTheme="majorEastAsia" w:eastAsiaTheme="majorEastAsia"/>
                <w:color w:val="auto"/>
                <w:sz w:val="18"/>
                <w:szCs w:val="18"/>
                <w:highlight w:val="none"/>
              </w:rPr>
              <w:t>%以下，每少1%扣10分，扣完该项分为止。连续两个月满意率≤70%的，医院有权单方终止合同，重新另外招标。</w:t>
            </w:r>
          </w:p>
        </w:tc>
        <w:tc>
          <w:tcPr>
            <w:tcW w:w="641" w:type="dxa"/>
            <w:shd w:val="clear" w:color="auto" w:fill="auto"/>
          </w:tcPr>
          <w:p w14:paraId="3626EE66">
            <w:pPr>
              <w:widowControl/>
              <w:jc w:val="left"/>
              <w:rPr>
                <w:rFonts w:asciiTheme="majorEastAsia" w:hAnsiTheme="majorEastAsia" w:eastAsiaTheme="majorEastAsia"/>
                <w:color w:val="auto"/>
                <w:kern w:val="0"/>
                <w:sz w:val="20"/>
                <w:szCs w:val="20"/>
                <w:highlight w:val="none"/>
              </w:rPr>
            </w:pPr>
          </w:p>
        </w:tc>
      </w:tr>
      <w:tr w14:paraId="4D67A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63" w:type="dxa"/>
            <w:vMerge w:val="continue"/>
            <w:vAlign w:val="center"/>
          </w:tcPr>
          <w:p w14:paraId="5F8C6A70">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5F353F9F">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2.要求每</w:t>
            </w:r>
            <w:r>
              <w:rPr>
                <w:rFonts w:hint="eastAsia" w:asciiTheme="majorEastAsia" w:hAnsiTheme="majorEastAsia" w:eastAsiaTheme="majorEastAsia"/>
                <w:color w:val="auto"/>
                <w:sz w:val="18"/>
                <w:szCs w:val="18"/>
                <w:highlight w:val="none"/>
                <w:lang w:val="en-US" w:eastAsia="zh-CN"/>
              </w:rPr>
              <w:t>季度</w:t>
            </w:r>
            <w:r>
              <w:rPr>
                <w:rFonts w:hint="eastAsia" w:asciiTheme="majorEastAsia" w:hAnsiTheme="majorEastAsia" w:eastAsiaTheme="majorEastAsia"/>
                <w:color w:val="auto"/>
                <w:sz w:val="18"/>
                <w:szCs w:val="18"/>
                <w:highlight w:val="none"/>
              </w:rPr>
              <w:t>推出新菜品不少于</w:t>
            </w:r>
            <w:r>
              <w:rPr>
                <w:rFonts w:hint="eastAsia" w:asciiTheme="majorEastAsia" w:hAnsiTheme="majorEastAsia" w:eastAsiaTheme="majorEastAsia"/>
                <w:color w:val="auto"/>
                <w:sz w:val="18"/>
                <w:szCs w:val="18"/>
                <w:highlight w:val="none"/>
                <w:lang w:val="en-US" w:eastAsia="zh-CN"/>
              </w:rPr>
              <w:t>3</w:t>
            </w:r>
            <w:r>
              <w:rPr>
                <w:rFonts w:hint="eastAsia" w:asciiTheme="majorEastAsia" w:hAnsiTheme="majorEastAsia" w:eastAsiaTheme="majorEastAsia"/>
                <w:color w:val="auto"/>
                <w:sz w:val="18"/>
                <w:szCs w:val="18"/>
                <w:highlight w:val="none"/>
              </w:rPr>
              <w:t>次，并对菜品进行现场调查、意见征询并汇总，提交汇总结果至主管部门，并经主管部门同意后进行菜品及单价调整。</w:t>
            </w:r>
          </w:p>
        </w:tc>
        <w:tc>
          <w:tcPr>
            <w:tcW w:w="690" w:type="dxa"/>
            <w:shd w:val="clear" w:color="000000" w:fill="FFFFFF"/>
            <w:vAlign w:val="center"/>
          </w:tcPr>
          <w:p w14:paraId="667AEC63">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shd w:val="clear" w:color="auto" w:fill="auto"/>
            <w:vAlign w:val="center"/>
          </w:tcPr>
          <w:p w14:paraId="1A86E629">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如每</w:t>
            </w:r>
            <w:r>
              <w:rPr>
                <w:rFonts w:hint="eastAsia" w:asciiTheme="majorEastAsia" w:hAnsiTheme="majorEastAsia" w:eastAsiaTheme="majorEastAsia"/>
                <w:color w:val="auto"/>
                <w:sz w:val="18"/>
                <w:szCs w:val="18"/>
                <w:highlight w:val="none"/>
                <w:lang w:val="en-US" w:eastAsia="zh-CN"/>
              </w:rPr>
              <w:t>季度</w:t>
            </w:r>
            <w:r>
              <w:rPr>
                <w:rFonts w:hint="eastAsia" w:asciiTheme="majorEastAsia" w:hAnsiTheme="majorEastAsia" w:eastAsiaTheme="majorEastAsia"/>
                <w:color w:val="auto"/>
                <w:sz w:val="18"/>
                <w:szCs w:val="18"/>
                <w:highlight w:val="none"/>
              </w:rPr>
              <w:t>新推出少于</w:t>
            </w:r>
            <w:r>
              <w:rPr>
                <w:rFonts w:hint="eastAsia" w:asciiTheme="majorEastAsia" w:hAnsiTheme="majorEastAsia" w:eastAsiaTheme="majorEastAsia"/>
                <w:color w:val="auto"/>
                <w:sz w:val="18"/>
                <w:szCs w:val="18"/>
                <w:highlight w:val="none"/>
                <w:lang w:val="en-US" w:eastAsia="zh-CN"/>
              </w:rPr>
              <w:t>3</w:t>
            </w:r>
            <w:r>
              <w:rPr>
                <w:rFonts w:hint="eastAsia" w:asciiTheme="majorEastAsia" w:hAnsiTheme="majorEastAsia" w:eastAsiaTheme="majorEastAsia"/>
                <w:color w:val="auto"/>
                <w:sz w:val="18"/>
                <w:szCs w:val="18"/>
                <w:highlight w:val="none"/>
              </w:rPr>
              <w:t>个菜品的，扣减0.5分；如推出后没有按照要求进行现场调研和意见征询的，扣减0.5分/次，扣完为止。</w:t>
            </w:r>
          </w:p>
        </w:tc>
        <w:tc>
          <w:tcPr>
            <w:tcW w:w="641" w:type="dxa"/>
            <w:shd w:val="clear" w:color="auto" w:fill="auto"/>
          </w:tcPr>
          <w:p w14:paraId="047B9B98">
            <w:pPr>
              <w:widowControl/>
              <w:jc w:val="left"/>
              <w:rPr>
                <w:rFonts w:asciiTheme="majorEastAsia" w:hAnsiTheme="majorEastAsia" w:eastAsiaTheme="majorEastAsia"/>
                <w:color w:val="auto"/>
                <w:kern w:val="0"/>
                <w:sz w:val="20"/>
                <w:szCs w:val="20"/>
                <w:highlight w:val="none"/>
              </w:rPr>
            </w:pPr>
          </w:p>
        </w:tc>
      </w:tr>
      <w:tr w14:paraId="74CC5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763" w:type="dxa"/>
            <w:vMerge w:val="continue"/>
            <w:vAlign w:val="center"/>
          </w:tcPr>
          <w:p w14:paraId="6969D1BE">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07D3B7A3">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3.每</w:t>
            </w:r>
            <w:r>
              <w:rPr>
                <w:rFonts w:hint="eastAsia" w:asciiTheme="majorEastAsia" w:hAnsiTheme="majorEastAsia" w:eastAsiaTheme="majorEastAsia"/>
                <w:color w:val="auto"/>
                <w:sz w:val="18"/>
                <w:szCs w:val="18"/>
                <w:highlight w:val="none"/>
                <w:lang w:val="en-US" w:eastAsia="zh-CN"/>
              </w:rPr>
              <w:t>季度</w:t>
            </w:r>
            <w:r>
              <w:rPr>
                <w:rFonts w:hint="eastAsia" w:asciiTheme="majorEastAsia" w:hAnsiTheme="majorEastAsia" w:eastAsiaTheme="majorEastAsia"/>
                <w:color w:val="auto"/>
                <w:sz w:val="18"/>
                <w:szCs w:val="18"/>
                <w:highlight w:val="none"/>
              </w:rPr>
              <w:t>进行一次调查，选出每</w:t>
            </w:r>
            <w:r>
              <w:rPr>
                <w:rFonts w:hint="eastAsia" w:asciiTheme="majorEastAsia" w:hAnsiTheme="majorEastAsia" w:eastAsiaTheme="majorEastAsia"/>
                <w:color w:val="auto"/>
                <w:sz w:val="18"/>
                <w:szCs w:val="18"/>
                <w:highlight w:val="none"/>
                <w:lang w:val="en-US" w:eastAsia="zh-CN"/>
              </w:rPr>
              <w:t>季度</w:t>
            </w:r>
            <w:r>
              <w:rPr>
                <w:rFonts w:hint="eastAsia" w:asciiTheme="majorEastAsia" w:hAnsiTheme="majorEastAsia" w:eastAsiaTheme="majorEastAsia"/>
                <w:color w:val="auto"/>
                <w:sz w:val="18"/>
                <w:szCs w:val="18"/>
                <w:highlight w:val="none"/>
              </w:rPr>
              <w:t>最受欢迎的员工菜式与最不受欢迎的员工菜式，并在每</w:t>
            </w:r>
            <w:r>
              <w:rPr>
                <w:rFonts w:hint="eastAsia" w:asciiTheme="majorEastAsia" w:hAnsiTheme="majorEastAsia" w:eastAsiaTheme="majorEastAsia"/>
                <w:color w:val="auto"/>
                <w:sz w:val="18"/>
                <w:szCs w:val="18"/>
                <w:highlight w:val="none"/>
                <w:lang w:val="en-US" w:eastAsia="zh-CN"/>
              </w:rPr>
              <w:t>季度</w:t>
            </w:r>
            <w:r>
              <w:rPr>
                <w:rFonts w:hint="eastAsia" w:asciiTheme="majorEastAsia" w:hAnsiTheme="majorEastAsia" w:eastAsiaTheme="majorEastAsia"/>
                <w:color w:val="auto"/>
                <w:sz w:val="18"/>
                <w:szCs w:val="18"/>
                <w:highlight w:val="none"/>
              </w:rPr>
              <w:t>第一周提交上</w:t>
            </w:r>
            <w:r>
              <w:rPr>
                <w:rFonts w:hint="eastAsia" w:asciiTheme="majorEastAsia" w:hAnsiTheme="majorEastAsia" w:eastAsiaTheme="majorEastAsia"/>
                <w:color w:val="auto"/>
                <w:sz w:val="18"/>
                <w:szCs w:val="18"/>
                <w:highlight w:val="none"/>
                <w:lang w:val="en-US" w:eastAsia="zh-CN"/>
              </w:rPr>
              <w:t>季度</w:t>
            </w:r>
            <w:r>
              <w:rPr>
                <w:rFonts w:hint="eastAsia" w:asciiTheme="majorEastAsia" w:hAnsiTheme="majorEastAsia" w:eastAsiaTheme="majorEastAsia"/>
                <w:color w:val="auto"/>
                <w:sz w:val="18"/>
                <w:szCs w:val="18"/>
                <w:highlight w:val="none"/>
              </w:rPr>
              <w:t>评选结果及相关评选资料，并对菜品进行调整。</w:t>
            </w:r>
          </w:p>
        </w:tc>
        <w:tc>
          <w:tcPr>
            <w:tcW w:w="690" w:type="dxa"/>
            <w:shd w:val="clear" w:color="000000" w:fill="FFFFFF"/>
            <w:vAlign w:val="center"/>
          </w:tcPr>
          <w:p w14:paraId="18A7A392">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shd w:val="clear" w:color="auto" w:fill="auto"/>
            <w:vAlign w:val="center"/>
          </w:tcPr>
          <w:p w14:paraId="7B1FEEAF">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未按要求进行调查的，扣减0.5分；未在规定时间内提交完整资料的，扣减0.5分。</w:t>
            </w:r>
          </w:p>
        </w:tc>
        <w:tc>
          <w:tcPr>
            <w:tcW w:w="641" w:type="dxa"/>
            <w:shd w:val="clear" w:color="auto" w:fill="auto"/>
          </w:tcPr>
          <w:p w14:paraId="73A75B5F">
            <w:pPr>
              <w:widowControl/>
              <w:jc w:val="left"/>
              <w:rPr>
                <w:rFonts w:asciiTheme="majorEastAsia" w:hAnsiTheme="majorEastAsia" w:eastAsiaTheme="majorEastAsia"/>
                <w:color w:val="auto"/>
                <w:kern w:val="0"/>
                <w:sz w:val="20"/>
                <w:szCs w:val="20"/>
                <w:highlight w:val="none"/>
              </w:rPr>
            </w:pPr>
          </w:p>
        </w:tc>
      </w:tr>
      <w:tr w14:paraId="3CE6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3" w:type="dxa"/>
            <w:vMerge w:val="restart"/>
            <w:vAlign w:val="center"/>
          </w:tcPr>
          <w:p w14:paraId="7BB1E37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三、应急处理(15分)</w:t>
            </w:r>
          </w:p>
        </w:tc>
        <w:tc>
          <w:tcPr>
            <w:tcW w:w="5098" w:type="dxa"/>
            <w:shd w:val="clear" w:color="000000" w:fill="FFFFFF"/>
            <w:vAlign w:val="center"/>
          </w:tcPr>
          <w:p w14:paraId="0AD2E348">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1.应建立各类应急预案并组织演练，有培训和演练记录。员工能熟练掌握各类突发事件(包括</w:t>
            </w:r>
            <w:r>
              <w:rPr>
                <w:rFonts w:hint="eastAsia" w:ascii="宋体" w:hAnsi="宋体" w:cs="宋体"/>
                <w:color w:val="auto"/>
                <w:sz w:val="18"/>
                <w:szCs w:val="18"/>
                <w:highlight w:val="none"/>
                <w:lang w:val="en-US" w:eastAsia="zh-CN"/>
              </w:rPr>
              <w:t>食品安全、消防</w:t>
            </w:r>
            <w:r>
              <w:rPr>
                <w:rFonts w:hint="eastAsia" w:asciiTheme="majorEastAsia" w:hAnsiTheme="majorEastAsia" w:eastAsiaTheme="majorEastAsia"/>
                <w:color w:val="auto"/>
                <w:sz w:val="18"/>
                <w:szCs w:val="18"/>
                <w:highlight w:val="none"/>
              </w:rPr>
              <w:t>等）的应急处理方法，应对措施得当，确保医院餐饮的正常供应，不得因公司员工失职导致的损害发生。</w:t>
            </w:r>
          </w:p>
        </w:tc>
        <w:tc>
          <w:tcPr>
            <w:tcW w:w="690" w:type="dxa"/>
            <w:shd w:val="clear" w:color="000000" w:fill="FFFFFF"/>
            <w:vAlign w:val="center"/>
          </w:tcPr>
          <w:p w14:paraId="2AEC35A2">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3</w:t>
            </w:r>
          </w:p>
        </w:tc>
        <w:tc>
          <w:tcPr>
            <w:tcW w:w="2999" w:type="dxa"/>
            <w:shd w:val="clear" w:color="auto" w:fill="auto"/>
            <w:vAlign w:val="center"/>
          </w:tcPr>
          <w:p w14:paraId="117ABA3E">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检查培训和演练记录，抽问员工对突发事件处理方法，一人不掌握的扣0.5分；如果发生紧急情况却不前往现场处理的，或到场不作为的，一经查实，扣3分/次,公司承担因此造成后果，情节严重的，医院有权单方无条件终止合同。</w:t>
            </w:r>
          </w:p>
        </w:tc>
        <w:tc>
          <w:tcPr>
            <w:tcW w:w="641" w:type="dxa"/>
            <w:shd w:val="clear" w:color="auto" w:fill="auto"/>
          </w:tcPr>
          <w:p w14:paraId="1E61627F">
            <w:pPr>
              <w:widowControl/>
              <w:jc w:val="left"/>
              <w:rPr>
                <w:rFonts w:asciiTheme="majorEastAsia" w:hAnsiTheme="majorEastAsia" w:eastAsiaTheme="majorEastAsia"/>
                <w:color w:val="auto"/>
                <w:kern w:val="0"/>
                <w:sz w:val="20"/>
                <w:szCs w:val="20"/>
                <w:highlight w:val="none"/>
              </w:rPr>
            </w:pPr>
          </w:p>
        </w:tc>
      </w:tr>
      <w:tr w14:paraId="1712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3" w:type="dxa"/>
            <w:vMerge w:val="continue"/>
            <w:vAlign w:val="center"/>
          </w:tcPr>
          <w:p w14:paraId="71B5AD9A">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6A7DF8E3">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2.严格控制餐饮供应质量，保证中毒发生率为0。一旦发生食物中毒的事件，第一时间积极正确地进行处理，并上报相关主管部门，不得隐瞒。</w:t>
            </w:r>
          </w:p>
        </w:tc>
        <w:tc>
          <w:tcPr>
            <w:tcW w:w="690" w:type="dxa"/>
            <w:shd w:val="clear" w:color="000000" w:fill="FFFFFF"/>
            <w:vAlign w:val="center"/>
          </w:tcPr>
          <w:p w14:paraId="13BCDD1D">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12</w:t>
            </w:r>
          </w:p>
        </w:tc>
        <w:tc>
          <w:tcPr>
            <w:tcW w:w="2999" w:type="dxa"/>
            <w:shd w:val="clear" w:color="auto" w:fill="auto"/>
            <w:vAlign w:val="center"/>
          </w:tcPr>
          <w:p w14:paraId="0C06D0D4">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发生一次中毒事件扣6分；发生后未按要求进行应急处理或隐瞒不报的扣6分/次；如因公司原因造成重大损失或两个月内连续发生两起中毒事件的，医院有权单方无条件终止合同。</w:t>
            </w:r>
          </w:p>
        </w:tc>
        <w:tc>
          <w:tcPr>
            <w:tcW w:w="641" w:type="dxa"/>
            <w:shd w:val="clear" w:color="auto" w:fill="auto"/>
          </w:tcPr>
          <w:p w14:paraId="54A026DE">
            <w:pPr>
              <w:widowControl/>
              <w:jc w:val="left"/>
              <w:rPr>
                <w:rFonts w:asciiTheme="majorEastAsia" w:hAnsiTheme="majorEastAsia" w:eastAsiaTheme="majorEastAsia"/>
                <w:color w:val="auto"/>
                <w:kern w:val="0"/>
                <w:sz w:val="20"/>
                <w:szCs w:val="20"/>
                <w:highlight w:val="none"/>
              </w:rPr>
            </w:pPr>
          </w:p>
        </w:tc>
      </w:tr>
      <w:tr w14:paraId="677C8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3" w:type="dxa"/>
            <w:vAlign w:val="center"/>
          </w:tcPr>
          <w:p w14:paraId="0EF0119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四、劳动纪律(4分)</w:t>
            </w:r>
          </w:p>
        </w:tc>
        <w:tc>
          <w:tcPr>
            <w:tcW w:w="5098" w:type="dxa"/>
            <w:shd w:val="clear" w:color="000000" w:fill="FFFFFF"/>
            <w:vAlign w:val="center"/>
          </w:tcPr>
          <w:p w14:paraId="15498FFE">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所有员工应身心健康（有体检，无传染性疾病、无违法犯罪记录），持《健康证》并经培训合格后方可上岗。工作时间应穿戴整洁，遵守医院各项规章制度，积极主动为患者提供服务，服务态度好，不得无故与医务人员发生争执；在岗时不得看书、看报、听收音机、玩手机、</w:t>
            </w:r>
            <w:r>
              <w:rPr>
                <w:rFonts w:hint="eastAsia" w:asciiTheme="majorEastAsia" w:hAnsiTheme="majorEastAsia" w:eastAsiaTheme="majorEastAsia"/>
                <w:color w:val="auto"/>
                <w:sz w:val="18"/>
                <w:szCs w:val="18"/>
                <w:highlight w:val="none"/>
                <w:lang w:eastAsia="zh-CN"/>
              </w:rPr>
              <w:t>串岗</w:t>
            </w:r>
            <w:r>
              <w:rPr>
                <w:rFonts w:hint="eastAsia" w:asciiTheme="majorEastAsia" w:hAnsiTheme="majorEastAsia" w:eastAsiaTheme="majorEastAsia"/>
                <w:color w:val="auto"/>
                <w:sz w:val="18"/>
                <w:szCs w:val="18"/>
                <w:highlight w:val="none"/>
              </w:rPr>
              <w:t>、聚集聊天、睡觉、办私事、滋事、酗酒、聚众斗殴或赌博、盗窃、侵占或故意毁坏医院财物、刁难群众、敲诈勒索等违法行为。应积极配合医院做好参观、检查、</w:t>
            </w:r>
            <w:r>
              <w:rPr>
                <w:rFonts w:hint="eastAsia" w:asciiTheme="majorEastAsia" w:hAnsiTheme="majorEastAsia" w:eastAsiaTheme="majorEastAsia"/>
                <w:color w:val="auto"/>
                <w:sz w:val="18"/>
                <w:szCs w:val="18"/>
                <w:highlight w:val="none"/>
                <w:lang w:eastAsia="zh-CN"/>
              </w:rPr>
              <w:t>视察</w:t>
            </w:r>
            <w:r>
              <w:rPr>
                <w:rFonts w:hint="eastAsia" w:asciiTheme="majorEastAsia" w:hAnsiTheme="majorEastAsia" w:eastAsiaTheme="majorEastAsia"/>
                <w:color w:val="auto"/>
                <w:sz w:val="18"/>
                <w:szCs w:val="18"/>
                <w:highlight w:val="none"/>
              </w:rPr>
              <w:t>等的接待工作。</w:t>
            </w:r>
          </w:p>
        </w:tc>
        <w:tc>
          <w:tcPr>
            <w:tcW w:w="690" w:type="dxa"/>
            <w:shd w:val="clear" w:color="000000" w:fill="FFFFFF"/>
            <w:vAlign w:val="center"/>
          </w:tcPr>
          <w:p w14:paraId="277001CE">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4</w:t>
            </w:r>
          </w:p>
        </w:tc>
        <w:tc>
          <w:tcPr>
            <w:tcW w:w="2999" w:type="dxa"/>
            <w:shd w:val="clear" w:color="auto" w:fill="auto"/>
            <w:vAlign w:val="center"/>
          </w:tcPr>
          <w:p w14:paraId="43501BEA">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如有违反，视情节轻重，扣0.5</w:t>
            </w:r>
            <w:r>
              <w:rPr>
                <w:rFonts w:hint="eastAsia" w:asciiTheme="majorEastAsia" w:hAnsiTheme="majorEastAsia" w:eastAsiaTheme="majorEastAsia"/>
                <w:color w:val="auto"/>
                <w:sz w:val="18"/>
                <w:szCs w:val="18"/>
                <w:highlight w:val="none"/>
                <w:lang w:eastAsia="zh-CN"/>
              </w:rPr>
              <w:t>～</w:t>
            </w:r>
            <w:r>
              <w:rPr>
                <w:rFonts w:hint="eastAsia" w:asciiTheme="majorEastAsia" w:hAnsiTheme="majorEastAsia" w:eastAsiaTheme="majorEastAsia"/>
                <w:color w:val="auto"/>
                <w:sz w:val="18"/>
                <w:szCs w:val="18"/>
                <w:highlight w:val="none"/>
              </w:rPr>
              <w:t>5分/次或依法追究法律责任；情节严重的，相关人员必须在一周内无条件调离本院。如果检查发现员工无健康证的，</w:t>
            </w:r>
            <w:r>
              <w:rPr>
                <w:rFonts w:hint="eastAsia" w:asciiTheme="majorEastAsia" w:hAnsiTheme="majorEastAsia" w:eastAsiaTheme="majorEastAsia"/>
                <w:color w:val="auto"/>
                <w:sz w:val="18"/>
                <w:szCs w:val="18"/>
                <w:highlight w:val="none"/>
                <w:lang w:eastAsia="zh-CN"/>
              </w:rPr>
              <w:t>应</w:t>
            </w:r>
            <w:r>
              <w:rPr>
                <w:rFonts w:hint="eastAsia" w:asciiTheme="majorEastAsia" w:hAnsiTheme="majorEastAsia" w:eastAsiaTheme="majorEastAsia"/>
                <w:color w:val="auto"/>
                <w:sz w:val="18"/>
                <w:szCs w:val="18"/>
                <w:highlight w:val="none"/>
              </w:rPr>
              <w:t>及时办理，如果无不正当理由不按要求办理的，扣罚服务质量1分/人，</w:t>
            </w:r>
            <w:r>
              <w:rPr>
                <w:rFonts w:hint="eastAsia" w:asciiTheme="majorEastAsia" w:hAnsiTheme="majorEastAsia" w:eastAsiaTheme="majorEastAsia"/>
                <w:color w:val="auto"/>
                <w:sz w:val="18"/>
                <w:szCs w:val="18"/>
                <w:highlight w:val="none"/>
                <w:lang w:eastAsia="zh-CN"/>
              </w:rPr>
              <w:t>业主方</w:t>
            </w:r>
            <w:r>
              <w:rPr>
                <w:rFonts w:hint="eastAsia" w:asciiTheme="majorEastAsia" w:hAnsiTheme="majorEastAsia" w:eastAsiaTheme="majorEastAsia"/>
                <w:color w:val="auto"/>
                <w:sz w:val="18"/>
                <w:szCs w:val="18"/>
                <w:highlight w:val="none"/>
              </w:rPr>
              <w:t>保留换人的权利。</w:t>
            </w:r>
          </w:p>
        </w:tc>
        <w:tc>
          <w:tcPr>
            <w:tcW w:w="641" w:type="dxa"/>
            <w:shd w:val="clear" w:color="auto" w:fill="auto"/>
          </w:tcPr>
          <w:p w14:paraId="22FBE5E0">
            <w:pPr>
              <w:widowControl/>
              <w:jc w:val="left"/>
              <w:rPr>
                <w:rFonts w:asciiTheme="majorEastAsia" w:hAnsiTheme="majorEastAsia" w:eastAsiaTheme="majorEastAsia"/>
                <w:color w:val="auto"/>
                <w:kern w:val="0"/>
                <w:sz w:val="20"/>
                <w:szCs w:val="20"/>
                <w:highlight w:val="none"/>
              </w:rPr>
            </w:pPr>
          </w:p>
        </w:tc>
      </w:tr>
      <w:tr w14:paraId="5B068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9" w:hRule="atLeast"/>
          <w:jc w:val="center"/>
        </w:trPr>
        <w:tc>
          <w:tcPr>
            <w:tcW w:w="763" w:type="dxa"/>
            <w:vAlign w:val="center"/>
          </w:tcPr>
          <w:p w14:paraId="5A4D9C15">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五、食品采购(5分)</w:t>
            </w:r>
          </w:p>
        </w:tc>
        <w:tc>
          <w:tcPr>
            <w:tcW w:w="5098" w:type="dxa"/>
            <w:shd w:val="clear" w:color="000000" w:fill="FFFFFF"/>
            <w:vAlign w:val="center"/>
          </w:tcPr>
          <w:p w14:paraId="2E7251F4">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①具有购物发票、收据、采购清单等凭证备查；②具备供应商的相关资质证明（包括营业执照、食品生产许可证、食品流通证等）及产品合格证明（食品检验合格证、报告单、畜禽肉类的兽医卫生</w:t>
            </w:r>
            <w:r>
              <w:rPr>
                <w:rFonts w:hint="eastAsia" w:asciiTheme="majorEastAsia" w:hAnsiTheme="majorEastAsia" w:eastAsiaTheme="majorEastAsia"/>
                <w:color w:val="auto"/>
                <w:sz w:val="18"/>
                <w:szCs w:val="18"/>
                <w:highlight w:val="none"/>
                <w:lang w:eastAsia="zh-CN"/>
              </w:rPr>
              <w:t>检验</w:t>
            </w:r>
            <w:r>
              <w:rPr>
                <w:rFonts w:hint="eastAsia" w:asciiTheme="majorEastAsia" w:hAnsiTheme="majorEastAsia" w:eastAsiaTheme="majorEastAsia"/>
                <w:color w:val="auto"/>
                <w:sz w:val="18"/>
                <w:szCs w:val="18"/>
                <w:highlight w:val="none"/>
              </w:rPr>
              <w:t>合格证等）；③具有进货台账，如实记录产品名称、规格、数量、生产批号、保质期、供货者名称及联系方式、进货日期等内容；④不采购国家禁止生产经营的</w:t>
            </w:r>
            <w:r>
              <w:rPr>
                <w:rFonts w:hint="eastAsia" w:asciiTheme="majorEastAsia" w:hAnsiTheme="majorEastAsia" w:eastAsiaTheme="majorEastAsia"/>
                <w:color w:val="auto"/>
                <w:sz w:val="18"/>
                <w:szCs w:val="18"/>
                <w:highlight w:val="none"/>
                <w:lang w:eastAsia="zh-CN"/>
              </w:rPr>
              <w:t>食品添加剂</w:t>
            </w:r>
            <w:r>
              <w:rPr>
                <w:rFonts w:hint="eastAsia" w:asciiTheme="majorEastAsia" w:hAnsiTheme="majorEastAsia" w:eastAsiaTheme="majorEastAsia"/>
                <w:color w:val="auto"/>
                <w:sz w:val="18"/>
                <w:szCs w:val="18"/>
                <w:highlight w:val="none"/>
              </w:rPr>
              <w:t>、食品原料（包括不能提供检疫合格证明的畜禽肉类；不明动物的器官、组织和腺体；</w:t>
            </w:r>
            <w:r>
              <w:rPr>
                <w:rFonts w:hint="eastAsia" w:asciiTheme="majorEastAsia" w:hAnsiTheme="majorEastAsia" w:eastAsiaTheme="majorEastAsia"/>
                <w:color w:val="auto"/>
                <w:sz w:val="18"/>
                <w:szCs w:val="18"/>
                <w:highlight w:val="none"/>
                <w:lang w:eastAsia="zh-CN"/>
              </w:rPr>
              <w:t>河豚</w:t>
            </w:r>
            <w:r>
              <w:rPr>
                <w:rFonts w:hint="eastAsia" w:asciiTheme="majorEastAsia" w:hAnsiTheme="majorEastAsia" w:eastAsiaTheme="majorEastAsia"/>
                <w:color w:val="auto"/>
                <w:sz w:val="18"/>
                <w:szCs w:val="18"/>
                <w:highlight w:val="none"/>
              </w:rPr>
              <w:t>及其制品；死鱼死虾死蟹等）⑤不使用被包装材料、容器、运输工具等污染的食品；</w:t>
            </w:r>
          </w:p>
        </w:tc>
        <w:tc>
          <w:tcPr>
            <w:tcW w:w="690" w:type="dxa"/>
            <w:shd w:val="clear" w:color="000000" w:fill="FFFFFF"/>
            <w:vAlign w:val="center"/>
          </w:tcPr>
          <w:p w14:paraId="33C3B04D">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5</w:t>
            </w:r>
          </w:p>
        </w:tc>
        <w:tc>
          <w:tcPr>
            <w:tcW w:w="2999" w:type="dxa"/>
            <w:shd w:val="clear" w:color="auto" w:fill="auto"/>
            <w:vAlign w:val="center"/>
          </w:tcPr>
          <w:p w14:paraId="2A901C1A">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查阅与核实资料，缺一项扣0.1分，扣完为止。如发现采购或使用国家禁止的食品和原料的，发现一次扣0.2分，并进行200元处罚。</w:t>
            </w:r>
          </w:p>
        </w:tc>
        <w:tc>
          <w:tcPr>
            <w:tcW w:w="641" w:type="dxa"/>
            <w:shd w:val="clear" w:color="auto" w:fill="auto"/>
          </w:tcPr>
          <w:p w14:paraId="41A2B695">
            <w:pPr>
              <w:widowControl/>
              <w:jc w:val="left"/>
              <w:rPr>
                <w:rFonts w:asciiTheme="majorEastAsia" w:hAnsiTheme="majorEastAsia" w:eastAsiaTheme="majorEastAsia"/>
                <w:color w:val="auto"/>
                <w:kern w:val="0"/>
                <w:sz w:val="20"/>
                <w:szCs w:val="20"/>
                <w:highlight w:val="none"/>
              </w:rPr>
            </w:pPr>
          </w:p>
        </w:tc>
      </w:tr>
      <w:tr w14:paraId="5BCC1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63" w:type="dxa"/>
            <w:vAlign w:val="center"/>
          </w:tcPr>
          <w:p w14:paraId="1C306AB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六、食品贮存(5分)</w:t>
            </w:r>
          </w:p>
        </w:tc>
        <w:tc>
          <w:tcPr>
            <w:tcW w:w="5098" w:type="dxa"/>
            <w:shd w:val="clear" w:color="000000" w:fill="FFFFFF"/>
            <w:vAlign w:val="center"/>
          </w:tcPr>
          <w:p w14:paraId="7EB4394D">
            <w:pPr>
              <w:widowControl/>
              <w:jc w:val="left"/>
              <w:rPr>
                <w:rFonts w:cs="宋体" w:asciiTheme="majorEastAsia" w:hAnsiTheme="majorEastAsia" w:eastAsiaTheme="majorEastAsia"/>
                <w:bCs/>
                <w:color w:val="auto"/>
                <w:kern w:val="0"/>
                <w:sz w:val="18"/>
                <w:szCs w:val="18"/>
                <w:highlight w:val="none"/>
              </w:rPr>
            </w:pPr>
            <w:r>
              <w:rPr>
                <w:rFonts w:hint="eastAsia" w:cs="宋体" w:asciiTheme="majorEastAsia" w:hAnsiTheme="majorEastAsia" w:eastAsiaTheme="majorEastAsia"/>
                <w:bCs/>
                <w:color w:val="auto"/>
                <w:kern w:val="0"/>
                <w:sz w:val="18"/>
                <w:szCs w:val="18"/>
                <w:highlight w:val="none"/>
              </w:rPr>
              <w:t>①储存温度达到要求：冷藏（鲜肉、禽类、鱼类和乳制品、拆封后的预包装食品＜5℃；鲜蛋和活的贝类＜7℃；新鲜蔬菜和水果5～7℃）、冷冻（＜-18℃）、常温(10～20℃)；②分类、分区、隔墙、离地10cm以上存放，冷藏和冷冻库应分区存放并具备明显标识；③保证冷库(冰箱)工作状况良好，</w:t>
            </w:r>
            <w:r>
              <w:rPr>
                <w:rFonts w:hint="eastAsia" w:cs="宋体" w:asciiTheme="majorEastAsia" w:hAnsiTheme="majorEastAsia" w:eastAsiaTheme="majorEastAsia"/>
                <w:bCs/>
                <w:color w:val="auto"/>
                <w:kern w:val="0"/>
                <w:sz w:val="18"/>
                <w:szCs w:val="18"/>
                <w:highlight w:val="none"/>
                <w:lang w:val="en-US" w:eastAsia="zh-CN"/>
              </w:rPr>
              <w:t>少</w:t>
            </w:r>
            <w:r>
              <w:rPr>
                <w:rFonts w:hint="eastAsia" w:cs="宋体" w:asciiTheme="majorEastAsia" w:hAnsiTheme="majorEastAsia" w:eastAsiaTheme="majorEastAsia"/>
                <w:bCs/>
                <w:color w:val="auto"/>
                <w:kern w:val="0"/>
                <w:sz w:val="18"/>
                <w:szCs w:val="18"/>
                <w:highlight w:val="none"/>
              </w:rPr>
              <w:t>积霜，食品不堆积、挤压存放；④冷藏的原料、半成品、成品严格分开，并装入密封的容器中或进行包裹，冰箱外部有存放食品种类的明显标识；⑤生、熟食品容器分开使用，按照熟上生下的原则存放。⑥无包装的食品与调料是否用清洁干净的容器盛装并加盖；⑦库房应设置防鼠板；⑧贮存食品及食品原料的场所、设备不得存放有毒、有害物品及个人生活物品；⑨定期检查库存食品及食品原料，及时清理变质或者超过保质期的食品。</w:t>
            </w:r>
          </w:p>
        </w:tc>
        <w:tc>
          <w:tcPr>
            <w:tcW w:w="690" w:type="dxa"/>
            <w:shd w:val="clear" w:color="000000" w:fill="FFFFFF"/>
            <w:vAlign w:val="center"/>
          </w:tcPr>
          <w:p w14:paraId="1A16D3D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5</w:t>
            </w:r>
          </w:p>
        </w:tc>
        <w:tc>
          <w:tcPr>
            <w:tcW w:w="2999" w:type="dxa"/>
            <w:shd w:val="clear" w:color="auto" w:fill="auto"/>
            <w:vAlign w:val="center"/>
          </w:tcPr>
          <w:p w14:paraId="47284183">
            <w:pPr>
              <w:widowControl/>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每月定期检查，公司应积极配合，检查发现一项不达标扣0.2分，公司应立即整改，并在7天内完成。如7天后复查发现仍未改进的，扣减0.5分/项，并进行处罚100元/次。</w:t>
            </w:r>
          </w:p>
        </w:tc>
        <w:tc>
          <w:tcPr>
            <w:tcW w:w="641" w:type="dxa"/>
            <w:shd w:val="clear" w:color="auto" w:fill="auto"/>
          </w:tcPr>
          <w:p w14:paraId="3F2853B3">
            <w:pPr>
              <w:widowControl/>
              <w:jc w:val="left"/>
              <w:rPr>
                <w:rFonts w:asciiTheme="majorEastAsia" w:hAnsiTheme="majorEastAsia" w:eastAsiaTheme="majorEastAsia"/>
                <w:color w:val="auto"/>
                <w:kern w:val="0"/>
                <w:sz w:val="20"/>
                <w:szCs w:val="20"/>
                <w:highlight w:val="none"/>
              </w:rPr>
            </w:pPr>
          </w:p>
        </w:tc>
      </w:tr>
      <w:tr w14:paraId="0C94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63" w:type="dxa"/>
            <w:vAlign w:val="center"/>
          </w:tcPr>
          <w:p w14:paraId="77CA5C43">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七、食品原料粗加工(5分)</w:t>
            </w:r>
          </w:p>
        </w:tc>
        <w:tc>
          <w:tcPr>
            <w:tcW w:w="5098" w:type="dxa"/>
            <w:shd w:val="clear" w:color="000000" w:fill="FFFFFF"/>
            <w:vAlign w:val="center"/>
          </w:tcPr>
          <w:p w14:paraId="2308F134">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①挑拣：去除腐败变质迹象或其他感官性状异常的食品原料，不加工和使用；②清洗：动物性食品原料、植物性食品原料、水产品原料分池清洗，禽蛋在使用前对外壳进行清洗；③解冻：针对不同体积的食品使用正确的解冻方法，食品无反复解冻、冷冻操作；④食品原料、半成品加工场所与成品加工场所分开；⑤食品原料、半成品的加工中所使用的工具、容器、水池，不用作直接入口食品加工使用；⑥加工食品原料、半成品人员如无特殊原因不参与成品的加工。</w:t>
            </w:r>
          </w:p>
        </w:tc>
        <w:tc>
          <w:tcPr>
            <w:tcW w:w="690" w:type="dxa"/>
            <w:shd w:val="clear" w:color="000000" w:fill="FFFFFF"/>
            <w:vAlign w:val="center"/>
          </w:tcPr>
          <w:p w14:paraId="12BC28F7">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5</w:t>
            </w:r>
          </w:p>
        </w:tc>
        <w:tc>
          <w:tcPr>
            <w:tcW w:w="2999" w:type="dxa"/>
            <w:shd w:val="clear" w:color="auto" w:fill="auto"/>
            <w:vAlign w:val="center"/>
          </w:tcPr>
          <w:p w14:paraId="7689FCCB">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每月定期检查，公司应积极配合，检查发现一项不达标扣0.2分，公司应立即整改，并在7天内完成。如7天后复查发现仍未改进的，扣减0.5分/项，并进行处罚100元/次。</w:t>
            </w:r>
          </w:p>
        </w:tc>
        <w:tc>
          <w:tcPr>
            <w:tcW w:w="641" w:type="dxa"/>
            <w:shd w:val="clear" w:color="auto" w:fill="auto"/>
          </w:tcPr>
          <w:p w14:paraId="09C72F8A">
            <w:pPr>
              <w:widowControl/>
              <w:jc w:val="left"/>
              <w:rPr>
                <w:rFonts w:asciiTheme="majorEastAsia" w:hAnsiTheme="majorEastAsia" w:eastAsiaTheme="majorEastAsia"/>
                <w:color w:val="auto"/>
                <w:kern w:val="0"/>
                <w:sz w:val="20"/>
                <w:szCs w:val="20"/>
                <w:highlight w:val="none"/>
              </w:rPr>
            </w:pPr>
          </w:p>
        </w:tc>
      </w:tr>
      <w:tr w14:paraId="1C619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763" w:type="dxa"/>
            <w:vAlign w:val="center"/>
          </w:tcPr>
          <w:p w14:paraId="6DC7754B">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八、烹调加工(5分)</w:t>
            </w:r>
          </w:p>
        </w:tc>
        <w:tc>
          <w:tcPr>
            <w:tcW w:w="5098" w:type="dxa"/>
            <w:shd w:val="clear" w:color="000000" w:fill="FFFFFF"/>
            <w:vAlign w:val="center"/>
          </w:tcPr>
          <w:p w14:paraId="6EB23419">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①不烹饪加工腐败变质或其他感官性状异常、回收后的食品，熟制加工的食品中心温度应不低于75℃，且15秒以上；②烹调加工后的成品与半成品、原料分开存放；③调味料盛放器皿每天清洁，使用后随即加盖；不与地面或污垢接触；④食品再加热前确认食品是否变质，冷冻熟食品应彻底解冻后充分加热，加热食品的中心温度不低于75℃，再加热不要超过一次；⑤添加剂应专人采购、专人保管、专人领用、专人登记、专柜保存，严格按照规定量使用，不使用禁止的食品添加剂；⑥烹调后的熟食品应用消毒后的工具进行分装或整理；用手直接进行操作时先清洗、消毒双手，并且最好戴上清洁的一次性塑料或橡胶手套。⑦凉菜及裱花操作、生食海产品、饮料现榨及水果拼盘制作加工达到专人负责、专室制作、工具专用、消毒专用和冷藏专用的要求。</w:t>
            </w:r>
          </w:p>
        </w:tc>
        <w:tc>
          <w:tcPr>
            <w:tcW w:w="690" w:type="dxa"/>
            <w:shd w:val="clear" w:color="000000" w:fill="FFFFFF"/>
            <w:vAlign w:val="center"/>
          </w:tcPr>
          <w:p w14:paraId="59F87BE7">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5</w:t>
            </w:r>
          </w:p>
        </w:tc>
        <w:tc>
          <w:tcPr>
            <w:tcW w:w="2999" w:type="dxa"/>
            <w:shd w:val="clear" w:color="auto" w:fill="auto"/>
            <w:vAlign w:val="center"/>
          </w:tcPr>
          <w:p w14:paraId="1566D9F9">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每月定期检查，公司应积极配合，检查发现一项不达标扣0.2分，公司应立即整改，并在7天内完成。如7天后复查发现仍未改进的，扣减0.5分/项，并进行处罚100元/次。</w:t>
            </w:r>
          </w:p>
        </w:tc>
        <w:tc>
          <w:tcPr>
            <w:tcW w:w="641" w:type="dxa"/>
            <w:shd w:val="clear" w:color="auto" w:fill="auto"/>
          </w:tcPr>
          <w:p w14:paraId="3B08D88D">
            <w:pPr>
              <w:widowControl/>
              <w:jc w:val="left"/>
              <w:rPr>
                <w:rFonts w:asciiTheme="majorEastAsia" w:hAnsiTheme="majorEastAsia" w:eastAsiaTheme="majorEastAsia"/>
                <w:color w:val="auto"/>
                <w:kern w:val="0"/>
                <w:sz w:val="20"/>
                <w:szCs w:val="20"/>
                <w:highlight w:val="none"/>
              </w:rPr>
            </w:pPr>
          </w:p>
        </w:tc>
      </w:tr>
      <w:tr w14:paraId="292B9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jc w:val="center"/>
        </w:trPr>
        <w:tc>
          <w:tcPr>
            <w:tcW w:w="763" w:type="dxa"/>
            <w:vAlign w:val="center"/>
          </w:tcPr>
          <w:p w14:paraId="01E2954A">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九、售价管理（10分）</w:t>
            </w:r>
          </w:p>
        </w:tc>
        <w:tc>
          <w:tcPr>
            <w:tcW w:w="5098" w:type="dxa"/>
            <w:shd w:val="clear" w:color="000000" w:fill="FFFFFF"/>
            <w:vAlign w:val="center"/>
          </w:tcPr>
          <w:p w14:paraId="0EB93C49">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①所有的商品必须明码标价进行销售。</w:t>
            </w:r>
          </w:p>
          <w:p w14:paraId="1CF66CA9">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②必须按</w:t>
            </w:r>
            <w:r>
              <w:rPr>
                <w:rFonts w:hint="eastAsia" w:asciiTheme="majorEastAsia" w:hAnsiTheme="majorEastAsia" w:eastAsiaTheme="majorEastAsia"/>
                <w:color w:val="auto"/>
                <w:sz w:val="18"/>
                <w:szCs w:val="18"/>
                <w:highlight w:val="none"/>
                <w:lang w:val="en-US" w:eastAsia="zh-CN"/>
              </w:rPr>
              <w:t>医院审核定价及最终的下浮率</w:t>
            </w:r>
            <w:r>
              <w:rPr>
                <w:rFonts w:hint="eastAsia" w:asciiTheme="majorEastAsia" w:hAnsiTheme="majorEastAsia" w:eastAsiaTheme="majorEastAsia"/>
                <w:color w:val="auto"/>
                <w:sz w:val="18"/>
                <w:szCs w:val="18"/>
                <w:highlight w:val="none"/>
              </w:rPr>
              <w:t>为职工提供餐饮和按</w:t>
            </w:r>
            <w:r>
              <w:rPr>
                <w:rFonts w:hint="eastAsia" w:asciiTheme="majorEastAsia" w:hAnsiTheme="majorEastAsia" w:eastAsiaTheme="majorEastAsia"/>
                <w:color w:val="auto"/>
                <w:sz w:val="18"/>
                <w:szCs w:val="18"/>
                <w:highlight w:val="none"/>
                <w:lang w:val="en-US" w:eastAsia="zh-CN"/>
              </w:rPr>
              <w:t>成本价</w:t>
            </w:r>
            <w:r>
              <w:rPr>
                <w:rFonts w:hint="eastAsia" w:asciiTheme="majorEastAsia" w:hAnsiTheme="majorEastAsia" w:eastAsiaTheme="majorEastAsia"/>
                <w:color w:val="auto"/>
                <w:sz w:val="18"/>
                <w:szCs w:val="18"/>
                <w:highlight w:val="none"/>
              </w:rPr>
              <w:t>提供医院的</w:t>
            </w:r>
            <w:r>
              <w:rPr>
                <w:rFonts w:hint="eastAsia" w:cs="Times New Roman" w:asciiTheme="majorEastAsia" w:hAnsiTheme="majorEastAsia" w:eastAsiaTheme="majorEastAsia"/>
                <w:color w:val="auto"/>
                <w:kern w:val="2"/>
                <w:sz w:val="18"/>
                <w:szCs w:val="18"/>
                <w:highlight w:val="none"/>
                <w:lang w:val="en-US" w:eastAsia="zh-CN" w:bidi="ar-SA"/>
              </w:rPr>
              <w:t>体检餐、</w:t>
            </w:r>
            <w:r>
              <w:rPr>
                <w:rFonts w:hint="eastAsia" w:asciiTheme="majorEastAsia" w:hAnsiTheme="majorEastAsia" w:eastAsiaTheme="majorEastAsia"/>
                <w:color w:val="auto"/>
                <w:sz w:val="18"/>
                <w:szCs w:val="18"/>
                <w:highlight w:val="none"/>
              </w:rPr>
              <w:t>公务餐、会议餐、职工包餐、盒饭、院方需要的各类临时性用餐服务。</w:t>
            </w:r>
          </w:p>
          <w:p w14:paraId="3DF9B4DF">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③各类特殊治疗膳食，定价不得高于住院患者基本膳食定价的一倍。</w:t>
            </w:r>
          </w:p>
          <w:p w14:paraId="426B3D71">
            <w:pPr>
              <w:pStyle w:val="7"/>
              <w:rPr>
                <w:rFonts w:asciiTheme="majorEastAsia" w:hAnsiTheme="majorEastAsia" w:eastAsiaTheme="majorEastAsia"/>
                <w:color w:val="auto"/>
                <w:highlight w:val="none"/>
              </w:rPr>
            </w:pPr>
            <w:r>
              <w:rPr>
                <w:rFonts w:hint="eastAsia" w:asciiTheme="majorEastAsia" w:hAnsiTheme="majorEastAsia" w:eastAsiaTheme="majorEastAsia"/>
                <w:color w:val="auto"/>
                <w:kern w:val="2"/>
                <w:sz w:val="18"/>
                <w:szCs w:val="18"/>
                <w:highlight w:val="none"/>
              </w:rPr>
              <w:t>④为</w:t>
            </w:r>
            <w:r>
              <w:rPr>
                <w:rFonts w:hint="eastAsia" w:asciiTheme="majorEastAsia" w:hAnsiTheme="majorEastAsia" w:eastAsiaTheme="majorEastAsia"/>
                <w:color w:val="auto"/>
                <w:kern w:val="2"/>
                <w:sz w:val="18"/>
                <w:szCs w:val="18"/>
                <w:highlight w:val="none"/>
                <w:lang w:val="en-US" w:eastAsia="zh-CN"/>
              </w:rPr>
              <w:t>产妇、</w:t>
            </w:r>
            <w:r>
              <w:rPr>
                <w:rFonts w:hint="eastAsia" w:asciiTheme="majorEastAsia" w:hAnsiTheme="majorEastAsia" w:eastAsiaTheme="majorEastAsia"/>
                <w:color w:val="auto"/>
                <w:kern w:val="2"/>
                <w:sz w:val="18"/>
                <w:szCs w:val="18"/>
                <w:highlight w:val="none"/>
              </w:rPr>
              <w:t>患者及家属提供的餐饮不得高于市场同等水平，不得私自调整价格。</w:t>
            </w:r>
          </w:p>
        </w:tc>
        <w:tc>
          <w:tcPr>
            <w:tcW w:w="690" w:type="dxa"/>
            <w:shd w:val="clear" w:color="000000" w:fill="FFFFFF"/>
            <w:vAlign w:val="center"/>
          </w:tcPr>
          <w:p w14:paraId="0A1B6F87">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10</w:t>
            </w:r>
          </w:p>
        </w:tc>
        <w:tc>
          <w:tcPr>
            <w:tcW w:w="2999" w:type="dxa"/>
            <w:shd w:val="clear" w:color="auto" w:fill="auto"/>
            <w:vAlign w:val="center"/>
          </w:tcPr>
          <w:p w14:paraId="5152F629">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不定期随时抽查，如发现一项不符合要求的或超出定价的，每次扣2分/项，公司应立即对价格进行调整。如复查仍发现同类情况</w:t>
            </w:r>
            <w:r>
              <w:rPr>
                <w:rFonts w:hint="eastAsia" w:asciiTheme="majorEastAsia" w:hAnsiTheme="majorEastAsia" w:eastAsiaTheme="majorEastAsia"/>
                <w:color w:val="auto"/>
                <w:sz w:val="18"/>
                <w:szCs w:val="18"/>
                <w:highlight w:val="none"/>
                <w:lang w:eastAsia="zh-CN"/>
              </w:rPr>
              <w:t>的</w:t>
            </w:r>
            <w:r>
              <w:rPr>
                <w:rFonts w:hint="eastAsia" w:asciiTheme="majorEastAsia" w:hAnsiTheme="majorEastAsia" w:eastAsiaTheme="majorEastAsia"/>
                <w:color w:val="auto"/>
                <w:sz w:val="18"/>
                <w:szCs w:val="18"/>
                <w:highlight w:val="none"/>
              </w:rPr>
              <w:t>，扣减5分/项，并进行处罚100元/项。</w:t>
            </w:r>
          </w:p>
        </w:tc>
        <w:tc>
          <w:tcPr>
            <w:tcW w:w="641" w:type="dxa"/>
            <w:shd w:val="clear" w:color="auto" w:fill="auto"/>
          </w:tcPr>
          <w:p w14:paraId="6BC3BB07">
            <w:pPr>
              <w:widowControl/>
              <w:jc w:val="left"/>
              <w:rPr>
                <w:rFonts w:asciiTheme="majorEastAsia" w:hAnsiTheme="majorEastAsia" w:eastAsiaTheme="majorEastAsia"/>
                <w:color w:val="auto"/>
                <w:kern w:val="0"/>
                <w:sz w:val="20"/>
                <w:szCs w:val="20"/>
                <w:highlight w:val="none"/>
              </w:rPr>
            </w:pPr>
          </w:p>
        </w:tc>
      </w:tr>
      <w:tr w14:paraId="631FB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763" w:type="dxa"/>
            <w:vAlign w:val="center"/>
          </w:tcPr>
          <w:p w14:paraId="461660F4">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十、个人卫生(4分)</w:t>
            </w:r>
          </w:p>
        </w:tc>
        <w:tc>
          <w:tcPr>
            <w:tcW w:w="5098" w:type="dxa"/>
            <w:shd w:val="clear" w:color="000000" w:fill="FFFFFF"/>
            <w:vAlign w:val="center"/>
          </w:tcPr>
          <w:p w14:paraId="31C5E4DB">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①加工操作时应穿戴清洁的工作服、工作帽，头发应盘入工作帽内，不得留长指甲或涂指甲油；②加工操作时不得抽烟；③接触直接入口食品之前应洗手或消毒，并规范佩戴口罩；④如手部破损应采取有效防污染措施；⑤对患上呼吸道炎症或口腔疾病的人，要求必须暂时脱离接触直接入口食品的工作，严防对食品的污染。⑥禁止在食品加工过程中嚼口香糖、饮食，非必要时不得互相交谈；⑦严禁随地吐痰、不穿拖鞋、不戴戒指，操作前后及大小便后要洗净双手。</w:t>
            </w:r>
          </w:p>
        </w:tc>
        <w:tc>
          <w:tcPr>
            <w:tcW w:w="690" w:type="dxa"/>
            <w:shd w:val="clear" w:color="000000" w:fill="FFFFFF"/>
            <w:vAlign w:val="center"/>
          </w:tcPr>
          <w:p w14:paraId="6AC9916B">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4</w:t>
            </w:r>
          </w:p>
        </w:tc>
        <w:tc>
          <w:tcPr>
            <w:tcW w:w="2999" w:type="dxa"/>
            <w:shd w:val="clear" w:color="auto" w:fill="auto"/>
            <w:vAlign w:val="center"/>
          </w:tcPr>
          <w:p w14:paraId="1CB39321">
            <w:pP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不定期突击检查，检查发现一项不达标扣0.5分，公司对员工进行教育再培训，并立即完成整改。如复查仍发现同类情况</w:t>
            </w:r>
            <w:r>
              <w:rPr>
                <w:rFonts w:hint="eastAsia" w:asciiTheme="majorEastAsia" w:hAnsiTheme="majorEastAsia" w:eastAsiaTheme="majorEastAsia"/>
                <w:color w:val="auto"/>
                <w:sz w:val="18"/>
                <w:szCs w:val="18"/>
                <w:highlight w:val="none"/>
                <w:lang w:eastAsia="zh-CN"/>
              </w:rPr>
              <w:t>的</w:t>
            </w:r>
            <w:r>
              <w:rPr>
                <w:rFonts w:hint="eastAsia" w:asciiTheme="majorEastAsia" w:hAnsiTheme="majorEastAsia" w:eastAsiaTheme="majorEastAsia"/>
                <w:color w:val="auto"/>
                <w:sz w:val="18"/>
                <w:szCs w:val="18"/>
                <w:highlight w:val="none"/>
              </w:rPr>
              <w:t>，扣减1分/项，并进行处罚100元/项。</w:t>
            </w:r>
          </w:p>
        </w:tc>
        <w:tc>
          <w:tcPr>
            <w:tcW w:w="641" w:type="dxa"/>
            <w:shd w:val="clear" w:color="auto" w:fill="auto"/>
          </w:tcPr>
          <w:p w14:paraId="61C9FFE1">
            <w:pPr>
              <w:widowControl/>
              <w:jc w:val="left"/>
              <w:rPr>
                <w:rFonts w:asciiTheme="majorEastAsia" w:hAnsiTheme="majorEastAsia" w:eastAsiaTheme="majorEastAsia"/>
                <w:color w:val="auto"/>
                <w:kern w:val="0"/>
                <w:sz w:val="20"/>
                <w:szCs w:val="20"/>
                <w:highlight w:val="none"/>
              </w:rPr>
            </w:pPr>
          </w:p>
        </w:tc>
      </w:tr>
      <w:tr w14:paraId="2774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jc w:val="center"/>
        </w:trPr>
        <w:tc>
          <w:tcPr>
            <w:tcW w:w="763" w:type="dxa"/>
            <w:vAlign w:val="center"/>
          </w:tcPr>
          <w:p w14:paraId="3EAECFD7">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十一、备餐配送(4分)</w:t>
            </w:r>
          </w:p>
        </w:tc>
        <w:tc>
          <w:tcPr>
            <w:tcW w:w="5098" w:type="dxa"/>
            <w:shd w:val="clear" w:color="000000" w:fill="FFFFFF"/>
            <w:vAlign w:val="center"/>
          </w:tcPr>
          <w:p w14:paraId="7B07A56C">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①独立的备餐专间，备餐专间的操作应达到专人负责、专室制作、工具专用、消毒专用和冷藏专用；②盛装菜肴、整理造型的用具容器使用前应进行消毒；不得直接放置于地面、不要堆叠；③食品上加盖，避免食品</w:t>
            </w:r>
            <w:r>
              <w:rPr>
                <w:rFonts w:hint="eastAsia" w:asciiTheme="majorEastAsia" w:hAnsiTheme="majorEastAsia" w:eastAsiaTheme="majorEastAsia"/>
                <w:color w:val="auto"/>
                <w:sz w:val="18"/>
                <w:szCs w:val="18"/>
                <w:highlight w:val="none"/>
                <w:lang w:eastAsia="zh-CN"/>
              </w:rPr>
              <w:t>受到</w:t>
            </w:r>
            <w:r>
              <w:rPr>
                <w:rFonts w:hint="eastAsia" w:asciiTheme="majorEastAsia" w:hAnsiTheme="majorEastAsia" w:eastAsiaTheme="majorEastAsia"/>
                <w:color w:val="auto"/>
                <w:sz w:val="18"/>
                <w:szCs w:val="18"/>
                <w:highlight w:val="none"/>
              </w:rPr>
              <w:t>污染；④配送用餐的车厢内、设备应保持清洁；每次运输食品前进行清洗消毒；在运送装卸过程中也应保持清洁；运输后清洗；⑤运输过程中食品的中心温度保持在10℃以下或60℃以上；⑥不供应腐败变质或者其他感官性状异常的食品。</w:t>
            </w:r>
          </w:p>
        </w:tc>
        <w:tc>
          <w:tcPr>
            <w:tcW w:w="690" w:type="dxa"/>
            <w:shd w:val="clear" w:color="000000" w:fill="FFFFFF"/>
            <w:vAlign w:val="center"/>
          </w:tcPr>
          <w:p w14:paraId="5132C21E">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4</w:t>
            </w:r>
          </w:p>
        </w:tc>
        <w:tc>
          <w:tcPr>
            <w:tcW w:w="2999" w:type="dxa"/>
            <w:shd w:val="clear" w:color="auto" w:fill="auto"/>
            <w:vAlign w:val="center"/>
          </w:tcPr>
          <w:p w14:paraId="6FAE14B0">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每月定期检查，公司应积极配合，检查发现一项不达标扣0.2分，公司应立即整改，并在7天内完成。如7天后复查发现仍未改进的，扣减0.5分/项，并进行处罚100元/次。如接到有效投诉或检查发现供应腐败变质或者其他感官性状异常的食品，扣减0.5分/项，并进行处罚100元/次，如因食用腐败变质、感官性状异常的食品而导致腹泻或造成其他人身损伤的，公司承担因此造</w:t>
            </w:r>
            <w:r>
              <w:rPr>
                <w:rFonts w:hint="eastAsia" w:asciiTheme="majorEastAsia" w:hAnsiTheme="majorEastAsia" w:eastAsiaTheme="majorEastAsia"/>
                <w:color w:val="auto"/>
                <w:sz w:val="18"/>
                <w:szCs w:val="18"/>
                <w:highlight w:val="none"/>
                <w:lang w:eastAsia="zh-CN"/>
              </w:rPr>
              <w:t>成的</w:t>
            </w:r>
            <w:r>
              <w:rPr>
                <w:rFonts w:hint="eastAsia" w:asciiTheme="majorEastAsia" w:hAnsiTheme="majorEastAsia" w:eastAsiaTheme="majorEastAsia"/>
                <w:color w:val="auto"/>
                <w:sz w:val="18"/>
                <w:szCs w:val="18"/>
                <w:highlight w:val="none"/>
              </w:rPr>
              <w:t>后果，情节严重的，医院有权单方无条件终止合同。</w:t>
            </w:r>
          </w:p>
        </w:tc>
        <w:tc>
          <w:tcPr>
            <w:tcW w:w="641" w:type="dxa"/>
            <w:shd w:val="clear" w:color="auto" w:fill="auto"/>
          </w:tcPr>
          <w:p w14:paraId="3B024FDD">
            <w:pPr>
              <w:widowControl/>
              <w:jc w:val="left"/>
              <w:rPr>
                <w:rFonts w:asciiTheme="majorEastAsia" w:hAnsiTheme="majorEastAsia" w:eastAsiaTheme="majorEastAsia"/>
                <w:color w:val="auto"/>
                <w:kern w:val="0"/>
                <w:sz w:val="20"/>
                <w:szCs w:val="20"/>
                <w:highlight w:val="none"/>
              </w:rPr>
            </w:pPr>
          </w:p>
        </w:tc>
      </w:tr>
      <w:tr w14:paraId="58044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3" w:type="dxa"/>
            <w:vMerge w:val="restart"/>
            <w:vAlign w:val="center"/>
          </w:tcPr>
          <w:p w14:paraId="7B3B4135">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十二、清洁与 消毒  (6分)</w:t>
            </w:r>
          </w:p>
        </w:tc>
        <w:tc>
          <w:tcPr>
            <w:tcW w:w="5098" w:type="dxa"/>
            <w:shd w:val="clear" w:color="000000" w:fill="FFFFFF"/>
            <w:vAlign w:val="center"/>
          </w:tcPr>
          <w:p w14:paraId="2100567B">
            <w:pPr>
              <w:rPr>
                <w:rFonts w:cs="宋体"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1.场所的清洁：</w:t>
            </w:r>
            <w:r>
              <w:rPr>
                <w:rFonts w:hint="eastAsia" w:asciiTheme="majorEastAsia" w:hAnsiTheme="majorEastAsia" w:eastAsiaTheme="majorEastAsia"/>
                <w:color w:val="auto"/>
                <w:sz w:val="18"/>
                <w:szCs w:val="18"/>
                <w:highlight w:val="none"/>
              </w:rPr>
              <w:t>①保持场所干燥清洁，每天运作结束后应及时打扫台面、地面，不留死角，不存放与食品加工无关的物品；②废弃物容器应与加工用容器有明显的区分标识且配有盖子，专间内的废弃物容器盖子为非手动开启式；③废弃物应分类放置，及时清除，做到日产日清。清除后的容器应及时清洗，必要时进行消毒；④</w:t>
            </w:r>
            <w:r>
              <w:rPr>
                <w:rFonts w:hint="eastAsia" w:asciiTheme="majorEastAsia" w:hAnsiTheme="majorEastAsia" w:eastAsiaTheme="majorEastAsia"/>
                <w:color w:val="auto"/>
                <w:sz w:val="18"/>
                <w:szCs w:val="18"/>
                <w:highlight w:val="none"/>
                <w:lang w:eastAsia="zh-CN"/>
              </w:rPr>
              <w:t>提供</w:t>
            </w:r>
            <w:r>
              <w:rPr>
                <w:rFonts w:hint="eastAsia" w:asciiTheme="majorEastAsia" w:hAnsiTheme="majorEastAsia" w:eastAsiaTheme="majorEastAsia"/>
                <w:color w:val="auto"/>
                <w:sz w:val="18"/>
                <w:szCs w:val="18"/>
                <w:highlight w:val="none"/>
              </w:rPr>
              <w:t>与处置单位或个人签订的合同及其经营资质证明文件复印件。</w:t>
            </w:r>
          </w:p>
        </w:tc>
        <w:tc>
          <w:tcPr>
            <w:tcW w:w="690" w:type="dxa"/>
            <w:shd w:val="clear" w:color="000000" w:fill="FFFFFF"/>
            <w:vAlign w:val="center"/>
          </w:tcPr>
          <w:p w14:paraId="7A3F0C50">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shd w:val="clear" w:color="auto" w:fill="auto"/>
            <w:vAlign w:val="center"/>
          </w:tcPr>
          <w:p w14:paraId="7AB82D08">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每月定期检查，公司应积极配合，检查发现一项不达标扣0.2分，公司应立即整改，并在7天内完成。如7天后复查发现仍未改进的，扣减0.5分/项，并进行处罚100元/次。</w:t>
            </w:r>
          </w:p>
        </w:tc>
        <w:tc>
          <w:tcPr>
            <w:tcW w:w="641" w:type="dxa"/>
            <w:shd w:val="clear" w:color="auto" w:fill="auto"/>
          </w:tcPr>
          <w:p w14:paraId="0C009F82">
            <w:pPr>
              <w:widowControl/>
              <w:jc w:val="left"/>
              <w:rPr>
                <w:rFonts w:asciiTheme="majorEastAsia" w:hAnsiTheme="majorEastAsia" w:eastAsiaTheme="majorEastAsia"/>
                <w:color w:val="auto"/>
                <w:kern w:val="0"/>
                <w:sz w:val="20"/>
                <w:szCs w:val="20"/>
                <w:highlight w:val="none"/>
              </w:rPr>
            </w:pPr>
          </w:p>
        </w:tc>
      </w:tr>
      <w:tr w14:paraId="18E5F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63" w:type="dxa"/>
            <w:vMerge w:val="continue"/>
            <w:vAlign w:val="center"/>
          </w:tcPr>
          <w:p w14:paraId="11D6BA5C">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4D795868">
            <w:pPr>
              <w:rPr>
                <w:rFonts w:cs="宋体"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2.餐具的清洁：</w:t>
            </w:r>
            <w:r>
              <w:rPr>
                <w:rFonts w:hint="eastAsia" w:asciiTheme="majorEastAsia" w:hAnsiTheme="majorEastAsia" w:eastAsiaTheme="majorEastAsia"/>
                <w:color w:val="auto"/>
                <w:sz w:val="18"/>
                <w:szCs w:val="18"/>
                <w:highlight w:val="none"/>
              </w:rPr>
              <w:t>①餐用具清洗消毒水池应专用，与食品原料、清洁用具及接触非直接入口食品的工具、容器清洗水池分开；清洁后的餐具不得出现残留物与污渍；②抹布应使用浅色布料，不同用途的抹布应区分标记，擦拭直接入口食品接触面的抹布应经过消毒。</w:t>
            </w:r>
          </w:p>
        </w:tc>
        <w:tc>
          <w:tcPr>
            <w:tcW w:w="690" w:type="dxa"/>
            <w:shd w:val="clear" w:color="000000" w:fill="FFFFFF"/>
            <w:vAlign w:val="center"/>
          </w:tcPr>
          <w:p w14:paraId="2BA0DD40">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shd w:val="clear" w:color="auto" w:fill="auto"/>
            <w:vAlign w:val="center"/>
          </w:tcPr>
          <w:p w14:paraId="62044821">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每月定期检查，公司应积极配合，检查发现一项不达标扣0.2分，公司应立即整改。如3天后复查发现仍未改进的，扣减0.5分/项，并进行处罚100元/次。如接到一起关于餐用具不干净的有效投诉，扣减0.5分/项，情节严重的，进行处罚100元/次。</w:t>
            </w:r>
          </w:p>
        </w:tc>
        <w:tc>
          <w:tcPr>
            <w:tcW w:w="641" w:type="dxa"/>
            <w:shd w:val="clear" w:color="auto" w:fill="auto"/>
          </w:tcPr>
          <w:p w14:paraId="4AC50B3D">
            <w:pPr>
              <w:widowControl/>
              <w:jc w:val="left"/>
              <w:rPr>
                <w:rFonts w:asciiTheme="majorEastAsia" w:hAnsiTheme="majorEastAsia" w:eastAsiaTheme="majorEastAsia"/>
                <w:color w:val="auto"/>
                <w:kern w:val="0"/>
                <w:sz w:val="20"/>
                <w:szCs w:val="20"/>
                <w:highlight w:val="none"/>
              </w:rPr>
            </w:pPr>
          </w:p>
        </w:tc>
      </w:tr>
      <w:tr w14:paraId="7FBF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63" w:type="dxa"/>
            <w:vMerge w:val="continue"/>
            <w:vAlign w:val="center"/>
          </w:tcPr>
          <w:p w14:paraId="0E7A0FA8">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1055D937">
            <w:pPr>
              <w:rPr>
                <w:rFonts w:cs="宋体"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3.设备、设施的清洁：</w:t>
            </w:r>
            <w:r>
              <w:rPr>
                <w:rFonts w:hint="eastAsia" w:asciiTheme="majorEastAsia" w:hAnsiTheme="majorEastAsia" w:eastAsiaTheme="majorEastAsia"/>
                <w:color w:val="auto"/>
                <w:sz w:val="18"/>
                <w:szCs w:val="18"/>
                <w:highlight w:val="none"/>
              </w:rPr>
              <w:t>①地面、厨房灶台、踏板洁净，无积水和油污、碎菜；②壁、天花板、门窗、抽油烟机清洁，无蜘蛛网、霉斑或</w:t>
            </w:r>
            <w:r>
              <w:rPr>
                <w:rFonts w:hint="eastAsia" w:asciiTheme="majorEastAsia" w:hAnsiTheme="majorEastAsia" w:eastAsiaTheme="majorEastAsia"/>
                <w:color w:val="auto"/>
                <w:sz w:val="18"/>
                <w:szCs w:val="18"/>
                <w:highlight w:val="none"/>
                <w:lang w:eastAsia="zh-CN"/>
              </w:rPr>
              <w:t>其他</w:t>
            </w:r>
            <w:r>
              <w:rPr>
                <w:rFonts w:hint="eastAsia" w:asciiTheme="majorEastAsia" w:hAnsiTheme="majorEastAsia" w:eastAsiaTheme="majorEastAsia"/>
                <w:color w:val="auto"/>
                <w:sz w:val="18"/>
                <w:szCs w:val="18"/>
                <w:highlight w:val="none"/>
              </w:rPr>
              <w:t>明显积垢；③食品加工机械内外保持清洁，无残留物，无异味；④食品加工机械内外保持清洁，无残留物，无异味；⑤烹调用具、刀具要定位、保持清洁，案板挂起或竖放，保持清洁干燥。</w:t>
            </w:r>
          </w:p>
        </w:tc>
        <w:tc>
          <w:tcPr>
            <w:tcW w:w="690" w:type="dxa"/>
            <w:shd w:val="clear" w:color="000000" w:fill="FFFFFF"/>
            <w:vAlign w:val="center"/>
          </w:tcPr>
          <w:p w14:paraId="16AB3D6D">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vMerge w:val="restart"/>
            <w:shd w:val="clear" w:color="auto" w:fill="auto"/>
            <w:vAlign w:val="center"/>
          </w:tcPr>
          <w:p w14:paraId="6228B317">
            <w:pPr>
              <w:widowControl/>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每月定期检查，公司应积极配合，检查发现一项不达标扣0.2分，公司应立即整改。如2天后复查发现仍未改进的，扣减0.5分/项，并进行处罚100元/次。</w:t>
            </w:r>
          </w:p>
        </w:tc>
        <w:tc>
          <w:tcPr>
            <w:tcW w:w="641" w:type="dxa"/>
            <w:shd w:val="clear" w:color="auto" w:fill="auto"/>
          </w:tcPr>
          <w:p w14:paraId="246FBEED">
            <w:pPr>
              <w:widowControl/>
              <w:jc w:val="left"/>
              <w:rPr>
                <w:rFonts w:asciiTheme="majorEastAsia" w:hAnsiTheme="majorEastAsia" w:eastAsiaTheme="majorEastAsia"/>
                <w:color w:val="auto"/>
                <w:kern w:val="0"/>
                <w:sz w:val="20"/>
                <w:szCs w:val="20"/>
                <w:highlight w:val="none"/>
              </w:rPr>
            </w:pPr>
          </w:p>
        </w:tc>
      </w:tr>
      <w:tr w14:paraId="06DE5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763" w:type="dxa"/>
            <w:vMerge w:val="continue"/>
            <w:vAlign w:val="center"/>
          </w:tcPr>
          <w:p w14:paraId="4D067CF3">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5F21ABC6">
            <w:pPr>
              <w:rPr>
                <w:rFonts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4.工具的清洁：</w:t>
            </w:r>
            <w:r>
              <w:rPr>
                <w:rFonts w:hint="eastAsia" w:asciiTheme="majorEastAsia" w:hAnsiTheme="majorEastAsia" w:eastAsiaTheme="majorEastAsia"/>
                <w:color w:val="auto"/>
                <w:sz w:val="18"/>
                <w:szCs w:val="18"/>
                <w:highlight w:val="none"/>
              </w:rPr>
              <w:t>①清洁工具必须无毒无害，标志或者区分明显，做到分开使用、定位存放、用后洗净、保持清洁；②清洁工具由专门的存放场所(区域)；③清洗清洁工具用的水池应与清洗食品、餐具的水池分开设置，清洁工具应在清洗后再采用吊挂等方式自然晾干。</w:t>
            </w:r>
          </w:p>
        </w:tc>
        <w:tc>
          <w:tcPr>
            <w:tcW w:w="690" w:type="dxa"/>
            <w:shd w:val="clear" w:color="000000" w:fill="FFFFFF"/>
            <w:vAlign w:val="center"/>
          </w:tcPr>
          <w:p w14:paraId="1E966670">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vMerge w:val="continue"/>
            <w:shd w:val="clear" w:color="auto" w:fill="auto"/>
            <w:vAlign w:val="center"/>
          </w:tcPr>
          <w:p w14:paraId="40A7CA1A">
            <w:pPr>
              <w:widowControl/>
              <w:jc w:val="left"/>
              <w:rPr>
                <w:rFonts w:cs="宋体" w:asciiTheme="majorEastAsia" w:hAnsiTheme="majorEastAsia" w:eastAsiaTheme="majorEastAsia"/>
                <w:color w:val="auto"/>
                <w:kern w:val="0"/>
                <w:sz w:val="18"/>
                <w:szCs w:val="18"/>
                <w:highlight w:val="none"/>
              </w:rPr>
            </w:pPr>
          </w:p>
        </w:tc>
        <w:tc>
          <w:tcPr>
            <w:tcW w:w="641" w:type="dxa"/>
            <w:shd w:val="clear" w:color="auto" w:fill="auto"/>
          </w:tcPr>
          <w:p w14:paraId="469B5D50">
            <w:pPr>
              <w:widowControl/>
              <w:jc w:val="left"/>
              <w:rPr>
                <w:rFonts w:asciiTheme="majorEastAsia" w:hAnsiTheme="majorEastAsia" w:eastAsiaTheme="majorEastAsia"/>
                <w:color w:val="auto"/>
                <w:kern w:val="0"/>
                <w:sz w:val="20"/>
                <w:szCs w:val="20"/>
                <w:highlight w:val="none"/>
              </w:rPr>
            </w:pPr>
          </w:p>
        </w:tc>
      </w:tr>
      <w:tr w14:paraId="6CF4E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763" w:type="dxa"/>
            <w:vMerge w:val="continue"/>
            <w:vAlign w:val="center"/>
          </w:tcPr>
          <w:p w14:paraId="7EBF89FE">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036ED09F">
            <w:pPr>
              <w:rPr>
                <w:rFonts w:cs="宋体"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5.消毒剂、洗涤剂的存放：</w:t>
            </w:r>
            <w:r>
              <w:rPr>
                <w:rFonts w:hint="eastAsia" w:asciiTheme="majorEastAsia" w:hAnsiTheme="majorEastAsia" w:eastAsiaTheme="majorEastAsia"/>
                <w:color w:val="auto"/>
                <w:sz w:val="18"/>
                <w:szCs w:val="18"/>
                <w:highlight w:val="none"/>
              </w:rPr>
              <w:t>①洗涤剂、消毒剂应存放在专用的设施内，不能与食品、厨房用具或者设备一起存放；②包装上贴有醒目标签和明显的警示标志；明确专人保管，必要时上锁。</w:t>
            </w:r>
          </w:p>
        </w:tc>
        <w:tc>
          <w:tcPr>
            <w:tcW w:w="690" w:type="dxa"/>
            <w:shd w:val="clear" w:color="000000" w:fill="FFFFFF"/>
            <w:vAlign w:val="center"/>
          </w:tcPr>
          <w:p w14:paraId="60141C24">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vMerge w:val="continue"/>
            <w:shd w:val="clear" w:color="auto" w:fill="auto"/>
            <w:vAlign w:val="center"/>
          </w:tcPr>
          <w:p w14:paraId="1408059C">
            <w:pPr>
              <w:widowControl/>
              <w:jc w:val="left"/>
              <w:rPr>
                <w:rFonts w:cs="宋体" w:asciiTheme="majorEastAsia" w:hAnsiTheme="majorEastAsia" w:eastAsiaTheme="majorEastAsia"/>
                <w:color w:val="auto"/>
                <w:kern w:val="0"/>
                <w:sz w:val="18"/>
                <w:szCs w:val="18"/>
                <w:highlight w:val="none"/>
              </w:rPr>
            </w:pPr>
          </w:p>
        </w:tc>
        <w:tc>
          <w:tcPr>
            <w:tcW w:w="641" w:type="dxa"/>
            <w:shd w:val="clear" w:color="auto" w:fill="auto"/>
          </w:tcPr>
          <w:p w14:paraId="2F9B32B6">
            <w:pPr>
              <w:widowControl/>
              <w:jc w:val="left"/>
              <w:rPr>
                <w:rFonts w:asciiTheme="majorEastAsia" w:hAnsiTheme="majorEastAsia" w:eastAsiaTheme="majorEastAsia"/>
                <w:color w:val="auto"/>
                <w:kern w:val="0"/>
                <w:sz w:val="20"/>
                <w:szCs w:val="20"/>
                <w:highlight w:val="none"/>
              </w:rPr>
            </w:pPr>
          </w:p>
        </w:tc>
      </w:tr>
      <w:tr w14:paraId="347F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7" w:hRule="atLeast"/>
          <w:jc w:val="center"/>
        </w:trPr>
        <w:tc>
          <w:tcPr>
            <w:tcW w:w="763" w:type="dxa"/>
            <w:vMerge w:val="continue"/>
            <w:vAlign w:val="center"/>
          </w:tcPr>
          <w:p w14:paraId="31E0F7BF">
            <w:pPr>
              <w:widowControl/>
              <w:jc w:val="center"/>
              <w:rPr>
                <w:rFonts w:cs="宋体" w:asciiTheme="majorEastAsia" w:hAnsiTheme="majorEastAsia" w:eastAsiaTheme="majorEastAsia"/>
                <w:color w:val="auto"/>
                <w:kern w:val="0"/>
                <w:sz w:val="18"/>
                <w:szCs w:val="18"/>
                <w:highlight w:val="none"/>
              </w:rPr>
            </w:pPr>
          </w:p>
        </w:tc>
        <w:tc>
          <w:tcPr>
            <w:tcW w:w="5098" w:type="dxa"/>
            <w:shd w:val="clear" w:color="000000" w:fill="FFFFFF"/>
            <w:vAlign w:val="center"/>
          </w:tcPr>
          <w:p w14:paraId="3B955BE8">
            <w:pPr>
              <w:rPr>
                <w:rFonts w:cs="宋体"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6.消毒要求：</w:t>
            </w:r>
            <w:r>
              <w:rPr>
                <w:rFonts w:hint="eastAsia" w:asciiTheme="majorEastAsia" w:hAnsiTheme="majorEastAsia" w:eastAsiaTheme="majorEastAsia"/>
                <w:color w:val="auto"/>
                <w:sz w:val="18"/>
                <w:szCs w:val="18"/>
                <w:highlight w:val="none"/>
              </w:rPr>
              <w:t>①使用消毒剂应符合有关食品安全标准和要求，应定时测量有效消毒浓度；②按照要求使用物理消毒和化学消毒，优先考虑使用热力消毒；③已消毒和未消毒的餐用具应分开存放，存放时应将餐用具的食品接触面向下；④设专供存放消毒后餐用具的保洁设施，其标识明显、其结构应密闭并易于清洁，保洁设施内不得存放其他物品；⑤定期检查清洗消毒设备、设施是否处于良好状态。</w:t>
            </w:r>
          </w:p>
        </w:tc>
        <w:tc>
          <w:tcPr>
            <w:tcW w:w="690" w:type="dxa"/>
            <w:shd w:val="clear" w:color="000000" w:fill="FFFFFF"/>
            <w:vAlign w:val="center"/>
          </w:tcPr>
          <w:p w14:paraId="6A356AA8">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shd w:val="clear" w:color="auto" w:fill="auto"/>
            <w:vAlign w:val="center"/>
          </w:tcPr>
          <w:p w14:paraId="302369AD">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不定期抽查，发现一项不达标扣0.2分，公司应立即整改。如2天后复查发现仍未改进的，扣减0.5分/项，并进行处罚100元/次。</w:t>
            </w:r>
          </w:p>
        </w:tc>
        <w:tc>
          <w:tcPr>
            <w:tcW w:w="641" w:type="dxa"/>
            <w:shd w:val="clear" w:color="auto" w:fill="auto"/>
          </w:tcPr>
          <w:p w14:paraId="13E86437">
            <w:pPr>
              <w:widowControl/>
              <w:jc w:val="left"/>
              <w:rPr>
                <w:rFonts w:asciiTheme="majorEastAsia" w:hAnsiTheme="majorEastAsia" w:eastAsiaTheme="majorEastAsia"/>
                <w:color w:val="auto"/>
                <w:kern w:val="0"/>
                <w:sz w:val="20"/>
                <w:szCs w:val="20"/>
                <w:highlight w:val="none"/>
              </w:rPr>
            </w:pPr>
          </w:p>
        </w:tc>
      </w:tr>
      <w:tr w14:paraId="5E9C2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763" w:type="dxa"/>
            <w:vMerge w:val="restart"/>
            <w:vAlign w:val="center"/>
          </w:tcPr>
          <w:p w14:paraId="5A31354D">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十三、昆虫鼠害控制  (3分)</w:t>
            </w:r>
          </w:p>
        </w:tc>
        <w:tc>
          <w:tcPr>
            <w:tcW w:w="5098" w:type="dxa"/>
            <w:shd w:val="clear" w:color="000000" w:fill="FFFFFF"/>
            <w:vAlign w:val="center"/>
          </w:tcPr>
          <w:p w14:paraId="178E835D">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b/>
                <w:bCs/>
                <w:color w:val="auto"/>
                <w:sz w:val="18"/>
                <w:szCs w:val="18"/>
                <w:highlight w:val="none"/>
              </w:rPr>
              <w:t>1.基础预防设施：</w:t>
            </w:r>
            <w:r>
              <w:rPr>
                <w:rFonts w:hint="eastAsia" w:asciiTheme="majorEastAsia" w:hAnsiTheme="majorEastAsia" w:eastAsiaTheme="majorEastAsia"/>
                <w:color w:val="auto"/>
                <w:sz w:val="18"/>
                <w:szCs w:val="18"/>
                <w:highlight w:val="none"/>
              </w:rPr>
              <w:t>①门窗、天花、管口及风口设有易于拆卸清洗且不生锈的防蝇、防虫和防鼠设施；②保持排水沟清洁，避免食物残渣淤积；③防止水龙头滴水。</w:t>
            </w:r>
          </w:p>
        </w:tc>
        <w:tc>
          <w:tcPr>
            <w:tcW w:w="690" w:type="dxa"/>
            <w:shd w:val="clear" w:color="000000" w:fill="FFFFFF"/>
            <w:vAlign w:val="center"/>
          </w:tcPr>
          <w:p w14:paraId="2872E49A">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w:t>
            </w:r>
          </w:p>
        </w:tc>
        <w:tc>
          <w:tcPr>
            <w:tcW w:w="2999" w:type="dxa"/>
            <w:shd w:val="clear" w:color="auto" w:fill="auto"/>
            <w:vAlign w:val="center"/>
          </w:tcPr>
          <w:p w14:paraId="446F92AE">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每月定期检查，公司应积极配合，检查发现一项不达标扣0.5分，公司应立即整改，对已损坏的部位进行修复。如2天后复查发现仍未改进的，进行处罚100元/次。</w:t>
            </w:r>
          </w:p>
        </w:tc>
        <w:tc>
          <w:tcPr>
            <w:tcW w:w="641" w:type="dxa"/>
            <w:shd w:val="clear" w:color="auto" w:fill="auto"/>
          </w:tcPr>
          <w:p w14:paraId="77EFA3DF">
            <w:pPr>
              <w:widowControl/>
              <w:jc w:val="left"/>
              <w:rPr>
                <w:rFonts w:asciiTheme="majorEastAsia" w:hAnsiTheme="majorEastAsia" w:eastAsiaTheme="majorEastAsia"/>
                <w:color w:val="auto"/>
                <w:kern w:val="0"/>
                <w:sz w:val="20"/>
                <w:szCs w:val="20"/>
                <w:highlight w:val="none"/>
              </w:rPr>
            </w:pPr>
          </w:p>
        </w:tc>
      </w:tr>
      <w:tr w14:paraId="0E986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3" w:type="dxa"/>
            <w:vMerge w:val="continue"/>
            <w:vAlign w:val="center"/>
          </w:tcPr>
          <w:p w14:paraId="5FE4FD14">
            <w:pPr>
              <w:jc w:val="center"/>
              <w:rPr>
                <w:rFonts w:asciiTheme="majorEastAsia" w:hAnsiTheme="majorEastAsia" w:eastAsiaTheme="majorEastAsia"/>
                <w:color w:val="auto"/>
                <w:sz w:val="18"/>
                <w:szCs w:val="18"/>
                <w:highlight w:val="none"/>
              </w:rPr>
            </w:pPr>
          </w:p>
        </w:tc>
        <w:tc>
          <w:tcPr>
            <w:tcW w:w="5098" w:type="dxa"/>
            <w:shd w:val="clear" w:color="000000" w:fill="FFFFFF"/>
            <w:vAlign w:val="center"/>
          </w:tcPr>
          <w:p w14:paraId="770A78AA">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b/>
                <w:bCs/>
                <w:color w:val="auto"/>
                <w:sz w:val="18"/>
                <w:szCs w:val="18"/>
                <w:highlight w:val="none"/>
              </w:rPr>
              <w:t>2.除虫灭害：</w:t>
            </w:r>
            <w:r>
              <w:rPr>
                <w:rFonts w:hint="eastAsia" w:asciiTheme="majorEastAsia" w:hAnsiTheme="majorEastAsia" w:eastAsiaTheme="majorEastAsia"/>
                <w:color w:val="auto"/>
                <w:sz w:val="18"/>
                <w:szCs w:val="18"/>
                <w:highlight w:val="none"/>
              </w:rPr>
              <w:t>①定期进行除虫灭害，器械</w:t>
            </w:r>
            <w:r>
              <w:rPr>
                <w:rFonts w:hint="eastAsia" w:asciiTheme="majorEastAsia" w:hAnsiTheme="majorEastAsia" w:eastAsiaTheme="majorEastAsia"/>
                <w:color w:val="auto"/>
                <w:sz w:val="18"/>
                <w:szCs w:val="18"/>
                <w:highlight w:val="none"/>
                <w:lang w:val="en-US" w:eastAsia="zh-CN"/>
              </w:rPr>
              <w:t>方式</w:t>
            </w:r>
            <w:r>
              <w:rPr>
                <w:rFonts w:hint="eastAsia" w:asciiTheme="majorEastAsia" w:hAnsiTheme="majorEastAsia" w:eastAsiaTheme="majorEastAsia"/>
                <w:color w:val="auto"/>
                <w:sz w:val="18"/>
                <w:szCs w:val="18"/>
                <w:highlight w:val="none"/>
              </w:rPr>
              <w:t>为首选，器械无效时才使用药物，尽量减少药物对食品和食品加工环境可能的污染；②除虫灭害工作不能在食品加工操作时进行，实施时对各种食品（包括原料）应有保护措施，使用化学药物后，场所内的任何设备、食具及解除食物的表面，均须彻底清洁；③杀虫剂、杀鼠剂及其他有毒有害物品存放均有固定的场所，并且上锁，包装上应有明显的警示标志，设有专人保管；④除虫灭害药物的采购及使用应有详细记录，包括使用人、使用目的、使用及购买时间、配置浓度、使用方法和使用区域、使用量等。使用后应进行复核，并按规定进行存放、保管。</w:t>
            </w:r>
          </w:p>
        </w:tc>
        <w:tc>
          <w:tcPr>
            <w:tcW w:w="690" w:type="dxa"/>
            <w:shd w:val="clear" w:color="000000" w:fill="FFFFFF"/>
            <w:vAlign w:val="center"/>
          </w:tcPr>
          <w:p w14:paraId="27A2B134">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2</w:t>
            </w:r>
          </w:p>
        </w:tc>
        <w:tc>
          <w:tcPr>
            <w:tcW w:w="2999" w:type="dxa"/>
            <w:shd w:val="clear" w:color="auto" w:fill="auto"/>
            <w:vAlign w:val="center"/>
          </w:tcPr>
          <w:p w14:paraId="412B268E">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每月定期检查现场，公司应积极配合，检查发现一项不达标扣0.5分，公司应立即整改。如2天后复查发现仍未改进的，进行处罚100元/次。查阅除虫灭害药物的采购和使用记录，记录不全的缺少一项扣0.5分。</w:t>
            </w:r>
          </w:p>
        </w:tc>
        <w:tc>
          <w:tcPr>
            <w:tcW w:w="641" w:type="dxa"/>
            <w:shd w:val="clear" w:color="auto" w:fill="auto"/>
          </w:tcPr>
          <w:p w14:paraId="05106D19">
            <w:pPr>
              <w:widowControl/>
              <w:jc w:val="left"/>
              <w:rPr>
                <w:rFonts w:asciiTheme="majorEastAsia" w:hAnsiTheme="majorEastAsia" w:eastAsiaTheme="majorEastAsia"/>
                <w:color w:val="auto"/>
                <w:kern w:val="0"/>
                <w:sz w:val="20"/>
                <w:szCs w:val="20"/>
                <w:highlight w:val="none"/>
              </w:rPr>
            </w:pPr>
          </w:p>
        </w:tc>
      </w:tr>
      <w:tr w14:paraId="6617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763" w:type="dxa"/>
            <w:vAlign w:val="center"/>
          </w:tcPr>
          <w:p w14:paraId="6607B064">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十四、食品留样</w:t>
            </w:r>
          </w:p>
          <w:p w14:paraId="1CE6A604">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(4分)</w:t>
            </w:r>
          </w:p>
        </w:tc>
        <w:tc>
          <w:tcPr>
            <w:tcW w:w="5098" w:type="dxa"/>
            <w:shd w:val="clear" w:color="000000" w:fill="FFFFFF"/>
            <w:vAlign w:val="center"/>
          </w:tcPr>
          <w:p w14:paraId="6F016816">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①每餐次食品成品应留样，每个品种留样量不少于200g；②留样食品应按品种分别盛放于清洗消毒后的密闭专用容器内；③留样食品应放置在专用冷藏设施中，在冷藏条件下存放48小时以上；④每个品种留样必须详细记录留样食品名称、留样量、留样时间、留样人员、审核人员等。</w:t>
            </w:r>
          </w:p>
        </w:tc>
        <w:tc>
          <w:tcPr>
            <w:tcW w:w="690" w:type="dxa"/>
            <w:shd w:val="clear" w:color="000000" w:fill="FFFFFF"/>
            <w:vAlign w:val="center"/>
          </w:tcPr>
          <w:p w14:paraId="623F7E78">
            <w:pPr>
              <w:jc w:val="cente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4</w:t>
            </w:r>
          </w:p>
        </w:tc>
        <w:tc>
          <w:tcPr>
            <w:tcW w:w="2999" w:type="dxa"/>
            <w:shd w:val="clear" w:color="auto" w:fill="auto"/>
            <w:vAlign w:val="center"/>
          </w:tcPr>
          <w:p w14:paraId="022433DF">
            <w:pPr>
              <w:rPr>
                <w:rFonts w:cs="宋体"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不定期抽查，发现一项不达标扣0.5分，公司应立即整改。如2天后复查发现仍未改进的，扣减1分/项，并进行处罚100元/次。</w:t>
            </w:r>
          </w:p>
        </w:tc>
        <w:tc>
          <w:tcPr>
            <w:tcW w:w="641" w:type="dxa"/>
            <w:shd w:val="clear" w:color="auto" w:fill="auto"/>
          </w:tcPr>
          <w:p w14:paraId="4514BF33">
            <w:pPr>
              <w:widowControl/>
              <w:jc w:val="left"/>
              <w:rPr>
                <w:rFonts w:asciiTheme="majorEastAsia" w:hAnsiTheme="majorEastAsia" w:eastAsiaTheme="majorEastAsia"/>
                <w:color w:val="auto"/>
                <w:kern w:val="0"/>
                <w:sz w:val="20"/>
                <w:szCs w:val="20"/>
                <w:highlight w:val="none"/>
              </w:rPr>
            </w:pPr>
          </w:p>
        </w:tc>
      </w:tr>
      <w:tr w14:paraId="7005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63" w:type="dxa"/>
            <w:vAlign w:val="center"/>
          </w:tcPr>
          <w:p w14:paraId="06767508">
            <w:pPr>
              <w:jc w:val="center"/>
              <w:rPr>
                <w:rFonts w:asciiTheme="majorEastAsia" w:hAnsiTheme="majorEastAsia" w:eastAsiaTheme="majorEastAsia"/>
                <w:color w:val="auto"/>
                <w:sz w:val="18"/>
                <w:szCs w:val="18"/>
                <w:highlight w:val="none"/>
              </w:rPr>
            </w:pPr>
          </w:p>
        </w:tc>
        <w:tc>
          <w:tcPr>
            <w:tcW w:w="5098" w:type="dxa"/>
            <w:shd w:val="clear" w:color="000000" w:fill="FFFFFF"/>
            <w:vAlign w:val="center"/>
          </w:tcPr>
          <w:p w14:paraId="518673E1">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合计</w:t>
            </w:r>
          </w:p>
        </w:tc>
        <w:tc>
          <w:tcPr>
            <w:tcW w:w="690" w:type="dxa"/>
            <w:shd w:val="clear" w:color="000000" w:fill="FFFFFF"/>
            <w:vAlign w:val="center"/>
          </w:tcPr>
          <w:p w14:paraId="41788184">
            <w:pPr>
              <w:jc w:val="center"/>
              <w:rPr>
                <w:rFonts w:asciiTheme="majorEastAsia" w:hAnsiTheme="majorEastAsia" w:eastAsiaTheme="majorEastAsia"/>
                <w:color w:val="auto"/>
                <w:sz w:val="18"/>
                <w:szCs w:val="18"/>
                <w:highlight w:val="none"/>
              </w:rPr>
            </w:pPr>
            <w:r>
              <w:rPr>
                <w:rFonts w:hint="eastAsia" w:asciiTheme="majorEastAsia" w:hAnsiTheme="majorEastAsia" w:eastAsiaTheme="majorEastAsia"/>
                <w:color w:val="auto"/>
                <w:sz w:val="18"/>
                <w:szCs w:val="18"/>
                <w:highlight w:val="none"/>
              </w:rPr>
              <w:t>100</w:t>
            </w:r>
          </w:p>
        </w:tc>
        <w:tc>
          <w:tcPr>
            <w:tcW w:w="2999" w:type="dxa"/>
            <w:shd w:val="clear" w:color="auto" w:fill="auto"/>
            <w:vAlign w:val="center"/>
          </w:tcPr>
          <w:p w14:paraId="290C3645">
            <w:pPr>
              <w:rPr>
                <w:rFonts w:asciiTheme="majorEastAsia" w:hAnsiTheme="majorEastAsia" w:eastAsiaTheme="majorEastAsia"/>
                <w:color w:val="auto"/>
                <w:sz w:val="18"/>
                <w:szCs w:val="18"/>
                <w:highlight w:val="none"/>
              </w:rPr>
            </w:pPr>
          </w:p>
        </w:tc>
        <w:tc>
          <w:tcPr>
            <w:tcW w:w="641" w:type="dxa"/>
            <w:shd w:val="clear" w:color="auto" w:fill="auto"/>
          </w:tcPr>
          <w:p w14:paraId="5180C777">
            <w:pPr>
              <w:widowControl/>
              <w:jc w:val="left"/>
              <w:rPr>
                <w:rFonts w:asciiTheme="majorEastAsia" w:hAnsiTheme="majorEastAsia" w:eastAsiaTheme="majorEastAsia"/>
                <w:color w:val="auto"/>
                <w:kern w:val="0"/>
                <w:sz w:val="20"/>
                <w:szCs w:val="20"/>
                <w:highlight w:val="none"/>
              </w:rPr>
            </w:pPr>
          </w:p>
        </w:tc>
      </w:tr>
    </w:tbl>
    <w:p w14:paraId="242118CF">
      <w:pPr>
        <w:spacing w:line="360" w:lineRule="auto"/>
        <w:jc w:val="left"/>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ascii="宋体" w:hAnsi="宋体" w:cs="宋体"/>
          <w:b/>
          <w:color w:val="auto"/>
          <w:szCs w:val="21"/>
          <w:highlight w:val="none"/>
        </w:rPr>
        <w:br w:type="page"/>
      </w:r>
      <w:r>
        <w:rPr>
          <w:rFonts w:hint="eastAsia" w:ascii="宋体" w:hAnsi="宋体" w:eastAsia="宋体" w:cs="宋体"/>
          <w:b/>
          <w:bCs/>
          <w:i w:val="0"/>
          <w:iCs w:val="0"/>
          <w:caps w:val="0"/>
          <w:color w:val="auto"/>
          <w:spacing w:val="0"/>
          <w:kern w:val="0"/>
          <w:sz w:val="24"/>
          <w:szCs w:val="24"/>
          <w:shd w:val="clear" w:color="auto" w:fill="FFFFFF"/>
          <w:lang w:val="en-US" w:eastAsia="zh-CN" w:bidi="ar"/>
        </w:rPr>
        <w:t>八、附图一：食堂一层平面图、食堂二层平面图（参考图）</w:t>
      </w:r>
    </w:p>
    <w:p w14:paraId="767D151D">
      <w:pPr>
        <w:spacing w:line="360" w:lineRule="auto"/>
        <w:jc w:val="left"/>
        <w:rPr>
          <w:rFonts w:ascii="宋体" w:hAnsi="宋体"/>
          <w:b/>
          <w:bCs/>
          <w:color w:val="auto"/>
          <w:highlight w:val="none"/>
        </w:rPr>
      </w:pPr>
      <w:r>
        <w:rPr>
          <w:rFonts w:hint="eastAsia"/>
          <w:b/>
          <w:bCs/>
          <w:color w:val="auto"/>
          <w:highlight w:val="none"/>
        </w:rPr>
        <w:drawing>
          <wp:anchor distT="0" distB="0" distL="114300" distR="114300" simplePos="0" relativeHeight="251662336" behindDoc="1" locked="0" layoutInCell="1" allowOverlap="1">
            <wp:simplePos x="0" y="0"/>
            <wp:positionH relativeFrom="column">
              <wp:posOffset>-245745</wp:posOffset>
            </wp:positionH>
            <wp:positionV relativeFrom="paragraph">
              <wp:posOffset>142240</wp:posOffset>
            </wp:positionV>
            <wp:extent cx="5972175" cy="3308985"/>
            <wp:effectExtent l="0" t="0" r="9525" b="5715"/>
            <wp:wrapThrough wrapText="bothSides">
              <wp:wrapPolygon>
                <wp:start x="0" y="0"/>
                <wp:lineTo x="0" y="21513"/>
                <wp:lineTo x="21566" y="21513"/>
                <wp:lineTo x="21566" y="0"/>
                <wp:lineTo x="0" y="0"/>
              </wp:wrapPolygon>
            </wp:wrapThrough>
            <wp:docPr id="12" name="图片 12" descr="餐饮部一楼平面图-20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餐饮部一楼平面图-2021.9"/>
                    <pic:cNvPicPr>
                      <a:picLocks noChangeAspect="1"/>
                    </pic:cNvPicPr>
                  </pic:nvPicPr>
                  <pic:blipFill>
                    <a:blip r:embed="rId8" cstate="print"/>
                    <a:stretch>
                      <a:fillRect/>
                    </a:stretch>
                  </pic:blipFill>
                  <pic:spPr>
                    <a:xfrm>
                      <a:off x="0" y="0"/>
                      <a:ext cx="5972175" cy="3308985"/>
                    </a:xfrm>
                    <a:prstGeom prst="rect">
                      <a:avLst/>
                    </a:prstGeom>
                  </pic:spPr>
                </pic:pic>
              </a:graphicData>
            </a:graphic>
          </wp:anchor>
        </w:drawing>
      </w:r>
    </w:p>
    <w:p w14:paraId="225270CE">
      <w:pPr>
        <w:spacing w:line="360" w:lineRule="auto"/>
        <w:jc w:val="left"/>
        <w:rPr>
          <w:rFonts w:hint="eastAsia" w:ascii="宋体" w:hAnsi="宋体" w:eastAsia="宋体" w:cs="宋体"/>
          <w:b/>
          <w:bCs/>
          <w:i w:val="0"/>
          <w:iCs w:val="0"/>
          <w:caps w:val="0"/>
          <w:color w:val="auto"/>
          <w:spacing w:val="0"/>
          <w:kern w:val="0"/>
          <w:sz w:val="24"/>
          <w:szCs w:val="24"/>
          <w:shd w:val="clear" w:color="auto" w:fill="FFFFFF"/>
          <w:lang w:val="en-US" w:eastAsia="zh-CN" w:bidi="ar"/>
        </w:rPr>
      </w:pPr>
      <w:r>
        <w:rPr>
          <w:rFonts w:hint="eastAsia" w:ascii="宋体" w:hAnsi="宋体" w:eastAsia="宋体" w:cs="宋体"/>
          <w:b/>
          <w:bCs/>
          <w:i w:val="0"/>
          <w:iCs w:val="0"/>
          <w:caps w:val="0"/>
          <w:color w:val="auto"/>
          <w:spacing w:val="0"/>
          <w:kern w:val="0"/>
          <w:sz w:val="24"/>
          <w:szCs w:val="24"/>
          <w:shd w:val="clear" w:color="auto" w:fill="FFFFFF"/>
          <w:lang w:val="en-US" w:eastAsia="zh-CN" w:bidi="ar"/>
        </w:rPr>
        <w:t>附图二：     食堂二层平面图</w:t>
      </w:r>
    </w:p>
    <w:p w14:paraId="410F7B01">
      <w:pPr>
        <w:pStyle w:val="7"/>
        <w:rPr>
          <w:color w:val="auto"/>
          <w:highlight w:val="none"/>
        </w:rPr>
      </w:pPr>
      <w:r>
        <w:rPr>
          <w:color w:val="auto"/>
          <w:highlight w:val="none"/>
        </w:rPr>
        <w:drawing>
          <wp:inline distT="0" distB="0" distL="114300" distR="114300">
            <wp:extent cx="5272405" cy="3227705"/>
            <wp:effectExtent l="0" t="0" r="444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272405" cy="3227705"/>
                    </a:xfrm>
                    <a:prstGeom prst="rect">
                      <a:avLst/>
                    </a:prstGeom>
                    <a:noFill/>
                    <a:ln>
                      <a:noFill/>
                    </a:ln>
                  </pic:spPr>
                </pic:pic>
              </a:graphicData>
            </a:graphic>
          </wp:inline>
        </w:drawing>
      </w:r>
    </w:p>
    <w:p w14:paraId="188A10B8">
      <w:pPr>
        <w:spacing w:line="360" w:lineRule="auto"/>
        <w:jc w:val="center"/>
        <w:rPr>
          <w:color w:val="auto"/>
          <w:highlight w:val="none"/>
        </w:rPr>
      </w:pPr>
      <w:r>
        <w:rPr>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1858010</wp:posOffset>
                </wp:positionH>
                <wp:positionV relativeFrom="paragraph">
                  <wp:posOffset>2390775</wp:posOffset>
                </wp:positionV>
                <wp:extent cx="365125" cy="5080"/>
                <wp:effectExtent l="0" t="0" r="0" b="0"/>
                <wp:wrapNone/>
                <wp:docPr id="8" name="直线 10"/>
                <wp:cNvGraphicFramePr/>
                <a:graphic xmlns:a="http://schemas.openxmlformats.org/drawingml/2006/main">
                  <a:graphicData uri="http://schemas.microsoft.com/office/word/2010/wordprocessingShape">
                    <wps:wsp>
                      <wps:cNvCnPr/>
                      <wps:spPr>
                        <a:xfrm flipH="1" flipV="1">
                          <a:off x="0" y="0"/>
                          <a:ext cx="365125" cy="5080"/>
                        </a:xfrm>
                        <a:prstGeom prst="line">
                          <a:avLst/>
                        </a:prstGeom>
                        <a:ln w="9525" cap="flat" cmpd="sng">
                          <a:solidFill>
                            <a:srgbClr val="FF0000"/>
                          </a:solidFill>
                          <a:prstDash val="solid"/>
                          <a:headEnd type="none" w="med" len="med"/>
                          <a:tailEnd type="none" w="med" len="med"/>
                        </a:ln>
                        <a:effectLst/>
                      </wps:spPr>
                      <wps:bodyPr upright="1"/>
                    </wps:wsp>
                  </a:graphicData>
                </a:graphic>
              </wp:anchor>
            </w:drawing>
          </mc:Choice>
          <mc:Fallback>
            <w:pict>
              <v:line id="直线 10" o:spid="_x0000_s1026" o:spt="20" style="position:absolute;left:0pt;flip:x y;margin-left:146.3pt;margin-top:188.25pt;height:0.4pt;width:28.75pt;z-index:251664384;mso-width-relative:page;mso-height-relative:page;" filled="f" stroked="t" coordsize="21600,21600" o:gfxdata="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pnmh3AAAAAsBAAAPAAAAAAAAAAEAIAAAACIAAABkcnMvZG93&#10;bnJldi54bWxQSwECFAAUAAAACACHTuJABSZE4vwBAAAABAAADgAAAAAAAAABACAAAAArAQAAZHJz&#10;L2Uyb0RvYy54bWxQSwUGAAAAAAYABgBZAQAAmQUAAAAA&#10;">
                <v:fill on="f" focussize="0,0"/>
                <v:stroke color="#FF0000" joinstyle="round"/>
                <v:imagedata o:title=""/>
                <o:lock v:ext="edit" aspectratio="f"/>
              </v:line>
            </w:pict>
          </mc:Fallback>
        </mc:AlternateContent>
      </w: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1716405</wp:posOffset>
                </wp:positionH>
                <wp:positionV relativeFrom="paragraph">
                  <wp:posOffset>2055495</wp:posOffset>
                </wp:positionV>
                <wp:extent cx="635" cy="5080"/>
                <wp:effectExtent l="0" t="0" r="0" b="0"/>
                <wp:wrapNone/>
                <wp:docPr id="9" name="直线 12"/>
                <wp:cNvGraphicFramePr/>
                <a:graphic xmlns:a="http://schemas.openxmlformats.org/drawingml/2006/main">
                  <a:graphicData uri="http://schemas.microsoft.com/office/word/2010/wordprocessingShape">
                    <wps:wsp>
                      <wps:cNvCnPr/>
                      <wps:spPr>
                        <a:xfrm>
                          <a:off x="0" y="0"/>
                          <a:ext cx="635" cy="508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12" o:spid="_x0000_s1026" o:spt="20" style="position:absolute;left:0pt;margin-left:135.15pt;margin-top:161.85pt;height:0.4pt;width:0.05pt;z-index:251663360;mso-width-relative:page;mso-height-relative:page;" filled="f" stroked="t" coordsize="21600,21600" o:gfxdata="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HMmnvYAAAACwEAAA8AAAAAAAAAAQAgAAAAIgAAAGRycy9kb3ducmV2LnhtbFBLAQIUABQAAAAI&#10;AIdO4kBtKuZf7QEAAOkDAAAOAAAAAAAAAAEAIAAAACcBAABkcnMvZTJvRG9jLnhtbFBLBQYAAAAA&#10;BgAGAFkBAACGBQAAAAA=&#10;">
                <v:fill on="f" focussize="0,0"/>
                <v:stroke color="#000000" joinstyle="round"/>
                <v:imagedata o:title=""/>
                <o:lock v:ext="edit" aspectratio="f"/>
              </v:line>
            </w:pict>
          </mc:Fallback>
        </mc:AlternateContent>
      </w:r>
    </w:p>
    <w:p w14:paraId="2C33BC09">
      <w:pPr>
        <w:spacing w:line="360" w:lineRule="auto"/>
        <w:rPr>
          <w:rFonts w:hint="eastAsia"/>
          <w:b/>
          <w:bCs/>
          <w:color w:val="auto"/>
          <w:highlight w:val="none"/>
        </w:rPr>
      </w:pPr>
      <w:r>
        <w:rPr>
          <w:rFonts w:hint="eastAsia"/>
          <w:b/>
          <w:bCs/>
          <w:color w:val="auto"/>
          <w:highlight w:val="none"/>
        </w:rPr>
        <w:t>备注：具体功能稍有调整的，以现场实际为准。</w:t>
      </w:r>
    </w:p>
    <w:p w14:paraId="6C99943D">
      <w:pPr>
        <w:rPr>
          <w:rFonts w:hint="eastAsia" w:ascii="宋体" w:hAnsi="宋体" w:eastAsia="宋体" w:cs="宋体"/>
          <w:b/>
          <w:bCs/>
          <w:kern w:val="2"/>
          <w:sz w:val="44"/>
          <w:szCs w:val="44"/>
          <w:lang w:val="en-US" w:eastAsia="zh-CN" w:bidi="ar-SA"/>
        </w:rPr>
      </w:pPr>
    </w:p>
    <w:p w14:paraId="3841DB16">
      <w:pPr>
        <w:pStyle w:val="8"/>
        <w:ind w:firstLine="1767" w:firstLineChars="400"/>
        <w:rPr>
          <w:rFonts w:hint="eastAsia" w:ascii="宋体" w:hAnsi="宋体" w:eastAsia="宋体" w:cs="宋体"/>
          <w:b/>
          <w:bCs/>
          <w:kern w:val="2"/>
          <w:sz w:val="44"/>
          <w:szCs w:val="44"/>
          <w:lang w:val="en-US" w:eastAsia="zh-CN" w:bidi="ar-SA"/>
        </w:rPr>
      </w:pPr>
    </w:p>
    <w:p w14:paraId="776C014F">
      <w:pPr>
        <w:pStyle w:val="8"/>
        <w:ind w:firstLine="1767" w:firstLineChars="400"/>
        <w:rPr>
          <w:rFonts w:hint="eastAsia" w:ascii="宋体" w:hAnsi="宋体" w:eastAsia="宋体" w:cs="宋体"/>
          <w:b/>
          <w:bCs/>
          <w:kern w:val="2"/>
          <w:sz w:val="44"/>
          <w:szCs w:val="44"/>
          <w:lang w:val="en-US" w:eastAsia="zh-CN" w:bidi="ar-SA"/>
        </w:rPr>
      </w:pPr>
    </w:p>
    <w:p w14:paraId="37E54D72">
      <w:pPr>
        <w:pStyle w:val="8"/>
        <w:ind w:firstLine="1767" w:firstLineChars="400"/>
        <w:rPr>
          <w:rFonts w:hint="eastAsia" w:ascii="宋体" w:hAnsi="宋体" w:eastAsia="宋体" w:cs="宋体"/>
          <w:b/>
          <w:bCs/>
          <w:kern w:val="2"/>
          <w:sz w:val="44"/>
          <w:szCs w:val="44"/>
          <w:lang w:val="en-US" w:eastAsia="zh-CN" w:bidi="ar-SA"/>
        </w:rPr>
      </w:pPr>
    </w:p>
    <w:p w14:paraId="5242860C">
      <w:pPr>
        <w:pStyle w:val="8"/>
        <w:ind w:firstLine="1767" w:firstLineChars="400"/>
        <w:rPr>
          <w:rFonts w:hint="eastAsia" w:ascii="宋体" w:hAnsi="宋体" w:eastAsia="宋体" w:cs="宋体"/>
          <w:b/>
          <w:bCs/>
          <w:kern w:val="2"/>
          <w:sz w:val="44"/>
          <w:szCs w:val="44"/>
          <w:lang w:val="en-US" w:eastAsia="zh-CN" w:bidi="ar-SA"/>
        </w:rPr>
      </w:pPr>
    </w:p>
    <w:p w14:paraId="4A6DE70F">
      <w:pPr>
        <w:pStyle w:val="8"/>
        <w:ind w:firstLine="1767" w:firstLineChars="400"/>
        <w:rPr>
          <w:rFonts w:hint="eastAsia" w:ascii="宋体" w:hAnsi="宋体" w:eastAsia="宋体" w:cs="宋体"/>
          <w:b/>
          <w:bCs/>
          <w:kern w:val="2"/>
          <w:sz w:val="44"/>
          <w:szCs w:val="44"/>
          <w:lang w:val="en-US" w:eastAsia="zh-CN" w:bidi="ar-SA"/>
        </w:rPr>
      </w:pPr>
    </w:p>
    <w:p w14:paraId="0AE45C38">
      <w:pPr>
        <w:pStyle w:val="8"/>
        <w:ind w:left="0" w:leftChars="0" w:firstLine="0" w:firstLineChars="0"/>
        <w:rPr>
          <w:rFonts w:hint="eastAsia" w:ascii="宋体" w:hAnsi="宋体" w:eastAsia="宋体" w:cs="宋体"/>
          <w:b/>
          <w:bCs/>
          <w:kern w:val="2"/>
          <w:sz w:val="44"/>
          <w:szCs w:val="44"/>
          <w:lang w:val="en-US" w:eastAsia="zh-CN" w:bidi="ar-SA"/>
        </w:rPr>
      </w:pPr>
    </w:p>
    <w:p w14:paraId="64E659E8">
      <w:pPr>
        <w:pStyle w:val="8"/>
        <w:ind w:firstLine="1767" w:firstLineChars="400"/>
        <w:rPr>
          <w:rFonts w:hint="eastAsia" w:ascii="宋体" w:hAnsi="宋体" w:eastAsia="宋体" w:cs="宋体"/>
          <w:b/>
          <w:bCs/>
          <w:kern w:val="2"/>
          <w:sz w:val="44"/>
          <w:szCs w:val="44"/>
          <w:lang w:val="en-US" w:eastAsia="zh-CN" w:bidi="ar-SA"/>
        </w:rPr>
      </w:pPr>
    </w:p>
    <w:p w14:paraId="62B275F1">
      <w:pPr>
        <w:pStyle w:val="8"/>
        <w:ind w:firstLine="1767" w:firstLineChars="400"/>
        <w:rPr>
          <w:rFonts w:hint="eastAsia" w:ascii="宋体" w:hAnsi="宋体" w:eastAsia="宋体" w:cs="宋体"/>
          <w:b/>
          <w:bCs/>
          <w:kern w:val="2"/>
          <w:sz w:val="44"/>
          <w:szCs w:val="44"/>
          <w:lang w:val="en-US" w:eastAsia="zh-CN" w:bidi="ar-SA"/>
        </w:rPr>
      </w:pPr>
    </w:p>
    <w:p w14:paraId="7B787824">
      <w:pPr>
        <w:pStyle w:val="8"/>
        <w:ind w:left="0" w:leftChars="0" w:firstLine="0" w:firstLineChars="0"/>
        <w:rPr>
          <w:rFonts w:hint="eastAsia" w:ascii="宋体" w:hAnsi="宋体" w:eastAsia="宋体" w:cs="宋体"/>
          <w:b/>
          <w:bCs/>
          <w:kern w:val="2"/>
          <w:sz w:val="44"/>
          <w:szCs w:val="44"/>
          <w:lang w:val="en-US" w:eastAsia="zh-CN" w:bidi="ar-SA"/>
        </w:rPr>
      </w:pPr>
    </w:p>
    <w:p w14:paraId="08447C10">
      <w:pPr>
        <w:pStyle w:val="8"/>
        <w:ind w:firstLine="1767" w:firstLineChars="400"/>
        <w:rPr>
          <w:rFonts w:hint="eastAsia" w:ascii="宋体" w:hAnsi="宋体" w:eastAsia="宋体" w:cs="宋体"/>
          <w:b/>
          <w:bCs/>
          <w:kern w:val="2"/>
          <w:sz w:val="44"/>
          <w:szCs w:val="44"/>
          <w:lang w:val="en-US" w:eastAsia="zh-CN" w:bidi="ar-SA"/>
        </w:rPr>
      </w:pPr>
    </w:p>
    <w:p w14:paraId="34F26C80">
      <w:pPr>
        <w:pStyle w:val="8"/>
        <w:ind w:firstLine="1767" w:firstLineChars="400"/>
        <w:rPr>
          <w:rFonts w:hint="eastAsia" w:ascii="宋体" w:hAnsi="宋体" w:eastAsia="宋体" w:cs="宋体"/>
          <w:b/>
          <w:bCs/>
          <w:kern w:val="2"/>
          <w:sz w:val="28"/>
          <w:szCs w:val="28"/>
          <w:lang w:val="en-US" w:eastAsia="zh-CN" w:bidi="ar-SA"/>
        </w:rPr>
      </w:pPr>
      <w:r>
        <w:rPr>
          <w:rFonts w:hint="eastAsia" w:ascii="宋体" w:hAnsi="宋体" w:eastAsia="宋体" w:cs="宋体"/>
          <w:b/>
          <w:bCs/>
          <w:kern w:val="2"/>
          <w:sz w:val="44"/>
          <w:szCs w:val="44"/>
          <w:lang w:val="en-US" w:eastAsia="zh-CN" w:bidi="ar-SA"/>
        </w:rPr>
        <w:t>第三部分  评分标准</w:t>
      </w:r>
    </w:p>
    <w:p w14:paraId="060EB585">
      <w:pPr>
        <w:rPr>
          <w:rFonts w:hint="eastAsia" w:ascii="宋体" w:hAnsi="宋体" w:eastAsia="宋体" w:cs="宋体"/>
          <w:b/>
          <w:bCs/>
          <w:kern w:val="2"/>
          <w:sz w:val="28"/>
          <w:szCs w:val="28"/>
          <w:lang w:val="en-US" w:eastAsia="zh-CN" w:bidi="ar-SA"/>
        </w:rPr>
      </w:pPr>
    </w:p>
    <w:p w14:paraId="6374AEFF">
      <w:pPr>
        <w:pStyle w:val="7"/>
        <w:rPr>
          <w:rFonts w:hint="eastAsia" w:ascii="宋体" w:hAnsi="宋体" w:eastAsia="宋体" w:cs="宋体"/>
          <w:b/>
          <w:bCs/>
          <w:kern w:val="2"/>
          <w:sz w:val="28"/>
          <w:szCs w:val="28"/>
          <w:lang w:val="en-US" w:eastAsia="zh-CN" w:bidi="ar-SA"/>
        </w:rPr>
      </w:pPr>
    </w:p>
    <w:p w14:paraId="437E3027">
      <w:pPr>
        <w:pStyle w:val="8"/>
        <w:rPr>
          <w:rFonts w:hint="eastAsia" w:ascii="宋体" w:hAnsi="宋体" w:eastAsia="宋体" w:cs="宋体"/>
          <w:b/>
          <w:bCs/>
          <w:kern w:val="2"/>
          <w:sz w:val="28"/>
          <w:szCs w:val="28"/>
          <w:lang w:val="en-US" w:eastAsia="zh-CN" w:bidi="ar-SA"/>
        </w:rPr>
      </w:pPr>
    </w:p>
    <w:p w14:paraId="07D71EB3">
      <w:pPr>
        <w:rPr>
          <w:rFonts w:hint="eastAsia" w:ascii="宋体" w:hAnsi="宋体" w:eastAsia="宋体" w:cs="宋体"/>
          <w:b/>
          <w:bCs/>
          <w:kern w:val="2"/>
          <w:sz w:val="28"/>
          <w:szCs w:val="28"/>
          <w:lang w:val="en-US" w:eastAsia="zh-CN" w:bidi="ar-SA"/>
        </w:rPr>
      </w:pPr>
    </w:p>
    <w:p w14:paraId="5153AA60">
      <w:pPr>
        <w:pStyle w:val="7"/>
        <w:rPr>
          <w:rFonts w:hint="eastAsia" w:ascii="宋体" w:hAnsi="宋体" w:eastAsia="宋体" w:cs="宋体"/>
          <w:b/>
          <w:bCs/>
          <w:kern w:val="2"/>
          <w:sz w:val="28"/>
          <w:szCs w:val="28"/>
          <w:lang w:val="en-US" w:eastAsia="zh-CN" w:bidi="ar-SA"/>
        </w:rPr>
      </w:pPr>
    </w:p>
    <w:p w14:paraId="75CC11A0">
      <w:pPr>
        <w:pStyle w:val="8"/>
        <w:rPr>
          <w:rFonts w:hint="eastAsia" w:ascii="宋体" w:hAnsi="宋体" w:eastAsia="宋体" w:cs="宋体"/>
          <w:b/>
          <w:bCs/>
          <w:kern w:val="2"/>
          <w:sz w:val="28"/>
          <w:szCs w:val="28"/>
          <w:lang w:val="en-US" w:eastAsia="zh-CN" w:bidi="ar-SA"/>
        </w:rPr>
      </w:pPr>
    </w:p>
    <w:p w14:paraId="497CB369">
      <w:pPr>
        <w:rPr>
          <w:rFonts w:hint="eastAsia" w:ascii="宋体" w:hAnsi="宋体" w:eastAsia="宋体" w:cs="宋体"/>
          <w:b/>
          <w:bCs/>
          <w:kern w:val="2"/>
          <w:sz w:val="28"/>
          <w:szCs w:val="28"/>
          <w:lang w:val="en-US" w:eastAsia="zh-CN" w:bidi="ar-SA"/>
        </w:rPr>
      </w:pPr>
    </w:p>
    <w:p w14:paraId="5E285636">
      <w:pPr>
        <w:pStyle w:val="7"/>
        <w:rPr>
          <w:rFonts w:hint="eastAsia" w:ascii="宋体" w:hAnsi="宋体" w:eastAsia="宋体" w:cs="宋体"/>
          <w:b/>
          <w:bCs/>
          <w:kern w:val="2"/>
          <w:sz w:val="28"/>
          <w:szCs w:val="28"/>
          <w:lang w:val="en-US" w:eastAsia="zh-CN" w:bidi="ar-SA"/>
        </w:rPr>
      </w:pPr>
    </w:p>
    <w:p w14:paraId="766938C7">
      <w:pPr>
        <w:rPr>
          <w:rFonts w:hint="eastAsia" w:ascii="宋体" w:hAnsi="宋体" w:eastAsia="宋体" w:cs="宋体"/>
          <w:b/>
          <w:bCs/>
          <w:kern w:val="2"/>
          <w:sz w:val="28"/>
          <w:szCs w:val="28"/>
          <w:lang w:val="en-US" w:eastAsia="zh-CN" w:bidi="ar-SA"/>
        </w:rPr>
      </w:pPr>
    </w:p>
    <w:p w14:paraId="757E3042">
      <w:pPr>
        <w:rPr>
          <w:rFonts w:hint="eastAsia" w:ascii="宋体" w:hAnsi="宋体" w:eastAsia="宋体" w:cs="宋体"/>
          <w:b/>
          <w:bCs/>
          <w:kern w:val="2"/>
          <w:sz w:val="28"/>
          <w:szCs w:val="28"/>
          <w:lang w:val="en-US" w:eastAsia="zh-CN" w:bidi="ar-SA"/>
        </w:rPr>
      </w:pPr>
    </w:p>
    <w:p w14:paraId="75B40552">
      <w:pPr>
        <w:rPr>
          <w:rFonts w:hint="eastAsia" w:ascii="宋体" w:hAnsi="宋体" w:eastAsia="宋体" w:cs="宋体"/>
          <w:b/>
          <w:bCs/>
          <w:kern w:val="2"/>
          <w:sz w:val="28"/>
          <w:szCs w:val="28"/>
          <w:lang w:val="en-US" w:eastAsia="zh-CN" w:bidi="ar-SA"/>
        </w:rPr>
      </w:pPr>
    </w:p>
    <w:p w14:paraId="1A971D7C">
      <w:pPr>
        <w:rPr>
          <w:rFonts w:hint="eastAsia" w:ascii="宋体" w:hAnsi="宋体" w:eastAsia="宋体" w:cs="宋体"/>
          <w:b/>
          <w:bCs/>
          <w:kern w:val="2"/>
          <w:sz w:val="28"/>
          <w:szCs w:val="28"/>
          <w:lang w:val="en-US" w:eastAsia="zh-CN" w:bidi="ar-SA"/>
        </w:rPr>
      </w:pPr>
    </w:p>
    <w:p w14:paraId="3B8CD9BA">
      <w:pPr>
        <w:rPr>
          <w:rFonts w:hint="eastAsia" w:ascii="宋体" w:hAnsi="宋体" w:eastAsia="宋体" w:cs="宋体"/>
          <w:b/>
          <w:bCs/>
          <w:kern w:val="2"/>
          <w:sz w:val="28"/>
          <w:szCs w:val="28"/>
          <w:lang w:val="en-US" w:eastAsia="zh-CN" w:bidi="ar-SA"/>
        </w:rPr>
      </w:pPr>
    </w:p>
    <w:p w14:paraId="31624EF4">
      <w:pPr>
        <w:pStyle w:val="8"/>
        <w:rPr>
          <w:rFonts w:hint="eastAsia" w:ascii="宋体" w:hAnsi="宋体" w:eastAsia="宋体" w:cs="宋体"/>
          <w:b/>
          <w:bCs/>
          <w:kern w:val="2"/>
          <w:sz w:val="28"/>
          <w:szCs w:val="28"/>
          <w:lang w:val="en-US" w:eastAsia="zh-CN" w:bidi="ar-SA"/>
        </w:rPr>
      </w:pPr>
    </w:p>
    <w:p w14:paraId="319C0125">
      <w:pPr>
        <w:rPr>
          <w:rFonts w:hint="eastAsia" w:ascii="宋体" w:hAnsi="宋体" w:eastAsia="宋体" w:cs="宋体"/>
          <w:b/>
          <w:bCs/>
          <w:kern w:val="2"/>
          <w:sz w:val="28"/>
          <w:szCs w:val="28"/>
          <w:lang w:val="en-US" w:eastAsia="zh-CN" w:bidi="ar-SA"/>
        </w:rPr>
      </w:pPr>
    </w:p>
    <w:p w14:paraId="7118E95A">
      <w:pPr>
        <w:rPr>
          <w:rFonts w:hint="eastAsia" w:ascii="宋体" w:hAnsi="宋体" w:eastAsia="宋体" w:cs="宋体"/>
          <w:b/>
          <w:bCs/>
          <w:kern w:val="2"/>
          <w:sz w:val="28"/>
          <w:szCs w:val="28"/>
          <w:lang w:val="en-US" w:eastAsia="zh-CN" w:bidi="ar-SA"/>
        </w:rPr>
      </w:pPr>
    </w:p>
    <w:p w14:paraId="3F220D9E">
      <w:pPr>
        <w:rPr>
          <w:rFonts w:hint="eastAsia" w:ascii="宋体" w:hAnsi="宋体" w:eastAsia="宋体" w:cs="宋体"/>
          <w:b/>
          <w:bCs/>
          <w:kern w:val="2"/>
          <w:sz w:val="28"/>
          <w:szCs w:val="28"/>
          <w:lang w:val="en-US" w:eastAsia="zh-CN" w:bidi="ar-SA"/>
        </w:rPr>
      </w:pPr>
    </w:p>
    <w:p w14:paraId="2F9AF2F5">
      <w:pPr>
        <w:rPr>
          <w:rFonts w:hint="eastAsia" w:ascii="宋体" w:hAnsi="宋体" w:eastAsia="宋体" w:cs="宋体"/>
          <w:b/>
          <w:bCs/>
          <w:kern w:val="2"/>
          <w:sz w:val="28"/>
          <w:szCs w:val="28"/>
          <w:lang w:val="en-US" w:eastAsia="zh-CN" w:bidi="ar-SA"/>
        </w:rPr>
      </w:pPr>
    </w:p>
    <w:p w14:paraId="3654A9D4">
      <w:pPr>
        <w:rPr>
          <w:rFonts w:hint="eastAsia" w:ascii="宋体" w:hAnsi="宋体" w:eastAsia="宋体" w:cs="宋体"/>
          <w:b/>
          <w:bCs/>
          <w:kern w:val="2"/>
          <w:sz w:val="28"/>
          <w:szCs w:val="28"/>
          <w:lang w:val="en-US" w:eastAsia="zh-CN" w:bidi="ar-SA"/>
        </w:rPr>
      </w:pPr>
    </w:p>
    <w:p w14:paraId="7AE75002">
      <w:pPr>
        <w:rPr>
          <w:rFonts w:hint="eastAsia" w:ascii="宋体" w:hAnsi="宋体" w:eastAsia="宋体" w:cs="宋体"/>
          <w:b/>
          <w:bCs/>
          <w:kern w:val="2"/>
          <w:sz w:val="28"/>
          <w:szCs w:val="28"/>
          <w:lang w:val="en-US" w:eastAsia="zh-CN" w:bidi="ar-SA"/>
        </w:rPr>
      </w:pPr>
    </w:p>
    <w:p w14:paraId="717C333F">
      <w:pPr>
        <w:pStyle w:val="7"/>
        <w:jc w:val="center"/>
        <w:rPr>
          <w:rFonts w:hint="eastAsia" w:ascii="宋体" w:hAnsi="宋体" w:eastAsia="宋体" w:cs="宋体"/>
          <w:sz w:val="28"/>
          <w:szCs w:val="24"/>
          <w:lang w:val="en-US" w:eastAsia="zh-CN"/>
        </w:rPr>
      </w:pPr>
      <w:r>
        <w:rPr>
          <w:rFonts w:hint="eastAsia" w:ascii="宋体" w:hAnsi="宋体" w:eastAsia="宋体" w:cs="宋体"/>
          <w:b/>
          <w:bCs/>
          <w:kern w:val="2"/>
          <w:sz w:val="36"/>
          <w:szCs w:val="36"/>
          <w:lang w:val="en-US" w:eastAsia="zh-CN" w:bidi="ar-SA"/>
        </w:rPr>
        <w:t>评分标准</w:t>
      </w:r>
    </w:p>
    <w:p w14:paraId="33D287FF">
      <w:pPr>
        <w:rPr>
          <w:rFonts w:hint="eastAsia" w:ascii="宋体" w:hAnsi="宋体" w:eastAsia="宋体" w:cs="宋体"/>
          <w:color w:val="000000"/>
          <w:sz w:val="24"/>
          <w:szCs w:val="24"/>
          <w:lang w:val="en-US" w:eastAsia="zh-CN"/>
        </w:rPr>
      </w:pP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分值</w:t>
      </w:r>
      <w:r>
        <w:rPr>
          <w:rFonts w:hint="eastAsia" w:ascii="宋体" w:hAnsi="宋体" w:eastAsia="宋体" w:cs="宋体"/>
          <w:color w:val="auto"/>
          <w:sz w:val="24"/>
          <w:szCs w:val="24"/>
          <w:highlight w:val="none"/>
          <w:lang w:val="en-US" w:eastAsia="zh-CN"/>
        </w:rPr>
        <w:t>分配</w:t>
      </w:r>
      <w:r>
        <w:rPr>
          <w:rFonts w:hint="eastAsia" w:ascii="宋体" w:hAnsi="宋体" w:eastAsia="宋体" w:cs="宋体"/>
          <w:color w:val="auto"/>
          <w:sz w:val="24"/>
          <w:szCs w:val="24"/>
          <w:highlight w:val="none"/>
        </w:rPr>
        <w:t>：</w:t>
      </w:r>
    </w:p>
    <w:p w14:paraId="36216248">
      <w:pPr>
        <w:rPr>
          <w:rFonts w:hint="eastAsia" w:ascii="宋体" w:hAnsi="宋体" w:eastAsia="宋体" w:cs="宋体"/>
          <w:color w:val="auto"/>
          <w:sz w:val="24"/>
          <w:szCs w:val="24"/>
          <w:highlight w:val="none"/>
          <w:lang w:val="en-US" w:eastAsia="zh-CN"/>
        </w:rPr>
      </w:pPr>
    </w:p>
    <w:p w14:paraId="05323F0F">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总分=商务评审+技术评审</w:t>
      </w:r>
    </w:p>
    <w:tbl>
      <w:tblPr>
        <w:tblStyle w:val="22"/>
        <w:tblpPr w:leftFromText="180" w:rightFromText="180" w:vertAnchor="text" w:horzAnchor="page" w:tblpX="1695" w:tblpY="321"/>
        <w:tblOverlap w:val="never"/>
        <w:tblW w:w="86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2295"/>
        <w:gridCol w:w="2070"/>
        <w:gridCol w:w="2100"/>
      </w:tblGrid>
      <w:tr w14:paraId="6C9C8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211" w:type="dxa"/>
            <w:vAlign w:val="center"/>
          </w:tcPr>
          <w:p w14:paraId="03D47EDC">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评审</w:t>
            </w:r>
          </w:p>
        </w:tc>
        <w:tc>
          <w:tcPr>
            <w:tcW w:w="2295" w:type="dxa"/>
            <w:vAlign w:val="center"/>
          </w:tcPr>
          <w:p w14:paraId="096F3183">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技术</w:t>
            </w:r>
            <w:r>
              <w:rPr>
                <w:rFonts w:hint="eastAsia" w:ascii="宋体" w:hAnsi="宋体" w:eastAsia="宋体" w:cs="宋体"/>
                <w:color w:val="auto"/>
                <w:sz w:val="24"/>
                <w:szCs w:val="24"/>
                <w:highlight w:val="none"/>
              </w:rPr>
              <w:t>评审</w:t>
            </w:r>
          </w:p>
        </w:tc>
        <w:tc>
          <w:tcPr>
            <w:tcW w:w="2070" w:type="dxa"/>
            <w:vAlign w:val="center"/>
          </w:tcPr>
          <w:p w14:paraId="6DAE87F1">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价格</w:t>
            </w:r>
          </w:p>
        </w:tc>
        <w:tc>
          <w:tcPr>
            <w:tcW w:w="2100" w:type="dxa"/>
            <w:vAlign w:val="center"/>
          </w:tcPr>
          <w:p w14:paraId="5D1870E8">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总分</w:t>
            </w:r>
          </w:p>
        </w:tc>
      </w:tr>
      <w:tr w14:paraId="32598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211" w:type="dxa"/>
            <w:vAlign w:val="center"/>
          </w:tcPr>
          <w:p w14:paraId="18C59C47">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32</w:t>
            </w:r>
            <w:r>
              <w:rPr>
                <w:rFonts w:hint="eastAsia" w:ascii="宋体" w:hAnsi="宋体" w:eastAsia="宋体" w:cs="宋体"/>
                <w:color w:val="auto"/>
                <w:sz w:val="24"/>
                <w:szCs w:val="24"/>
                <w:highlight w:val="none"/>
                <w:lang w:val="en-US" w:eastAsia="zh-CN"/>
              </w:rPr>
              <w:t>分</w:t>
            </w:r>
          </w:p>
        </w:tc>
        <w:tc>
          <w:tcPr>
            <w:tcW w:w="2295" w:type="dxa"/>
            <w:vAlign w:val="center"/>
          </w:tcPr>
          <w:p w14:paraId="72F6F7F5">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48</w:t>
            </w:r>
            <w:r>
              <w:rPr>
                <w:rFonts w:hint="eastAsia" w:ascii="宋体" w:hAnsi="宋体" w:eastAsia="宋体" w:cs="宋体"/>
                <w:color w:val="auto"/>
                <w:sz w:val="24"/>
                <w:szCs w:val="24"/>
                <w:highlight w:val="none"/>
                <w:lang w:val="en-US" w:eastAsia="zh-CN"/>
              </w:rPr>
              <w:t>分</w:t>
            </w:r>
          </w:p>
        </w:tc>
        <w:tc>
          <w:tcPr>
            <w:tcW w:w="2070" w:type="dxa"/>
            <w:vAlign w:val="center"/>
          </w:tcPr>
          <w:p w14:paraId="16D6EB32">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20分</w:t>
            </w:r>
          </w:p>
        </w:tc>
        <w:tc>
          <w:tcPr>
            <w:tcW w:w="2100" w:type="dxa"/>
            <w:vAlign w:val="center"/>
          </w:tcPr>
          <w:p w14:paraId="292ED446">
            <w:pPr>
              <w:pStyle w:val="19"/>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100分</w:t>
            </w:r>
          </w:p>
        </w:tc>
      </w:tr>
    </w:tbl>
    <w:p w14:paraId="1FA4120D">
      <w:pPr>
        <w:spacing w:line="44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技术</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商务</w:t>
      </w:r>
      <w:r>
        <w:rPr>
          <w:rFonts w:hint="eastAsia" w:ascii="宋体" w:hAnsi="宋体" w:eastAsia="宋体" w:cs="宋体"/>
          <w:color w:val="auto"/>
          <w:sz w:val="24"/>
          <w:szCs w:val="24"/>
          <w:highlight w:val="none"/>
        </w:rPr>
        <w:t>评审：</w:t>
      </w:r>
    </w:p>
    <w:tbl>
      <w:tblPr>
        <w:tblStyle w:val="22"/>
        <w:tblpPr w:leftFromText="180" w:rightFromText="180" w:vertAnchor="text" w:horzAnchor="page" w:tblpX="1397" w:tblpY="294"/>
        <w:tblOverlap w:val="never"/>
        <w:tblW w:w="9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757"/>
        <w:gridCol w:w="915"/>
        <w:gridCol w:w="5976"/>
        <w:gridCol w:w="1"/>
      </w:tblGrid>
      <w:tr w14:paraId="01FC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48" w:hRule="atLeast"/>
        </w:trPr>
        <w:tc>
          <w:tcPr>
            <w:tcW w:w="750" w:type="dxa"/>
            <w:vAlign w:val="center"/>
          </w:tcPr>
          <w:p w14:paraId="5B77E189">
            <w:pPr>
              <w:pStyle w:val="8"/>
              <w:spacing w:line="240" w:lineRule="auto"/>
              <w:ind w:lef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8648" w:type="dxa"/>
            <w:gridSpan w:val="3"/>
            <w:vAlign w:val="center"/>
          </w:tcPr>
          <w:p w14:paraId="321F7CFC">
            <w:pPr>
              <w:pStyle w:val="8"/>
              <w:spacing w:line="240" w:lineRule="auto"/>
              <w:ind w:lef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评审条款</w:t>
            </w:r>
          </w:p>
        </w:tc>
      </w:tr>
      <w:tr w14:paraId="7486A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1038" w:hRule="atLeast"/>
        </w:trPr>
        <w:tc>
          <w:tcPr>
            <w:tcW w:w="750" w:type="dxa"/>
            <w:vAlign w:val="center"/>
          </w:tcPr>
          <w:p w14:paraId="3C149D4B">
            <w:pPr>
              <w:pStyle w:val="8"/>
              <w:spacing w:line="240" w:lineRule="auto"/>
              <w:ind w:lef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分值构成</w:t>
            </w:r>
          </w:p>
        </w:tc>
        <w:tc>
          <w:tcPr>
            <w:tcW w:w="8648" w:type="dxa"/>
            <w:gridSpan w:val="3"/>
            <w:vAlign w:val="center"/>
          </w:tcPr>
          <w:p w14:paraId="5EEDA54A">
            <w:pPr>
              <w:pStyle w:val="8"/>
              <w:spacing w:line="240" w:lineRule="auto"/>
              <w:ind w:left="0"/>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1.商务部分</w:t>
            </w:r>
            <w:r>
              <w:rPr>
                <w:rFonts w:hint="eastAsia" w:ascii="宋体" w:hAnsi="宋体" w:cs="宋体"/>
                <w:color w:val="auto"/>
                <w:sz w:val="21"/>
                <w:szCs w:val="21"/>
                <w:shd w:val="clear" w:color="auto" w:fill="FFFFFF"/>
                <w:lang w:val="en-US" w:eastAsia="zh-CN"/>
              </w:rPr>
              <w:t>48</w:t>
            </w:r>
            <w:r>
              <w:rPr>
                <w:rFonts w:hint="eastAsia" w:ascii="宋体" w:hAnsi="宋体" w:eastAsia="宋体" w:cs="宋体"/>
                <w:color w:val="auto"/>
                <w:sz w:val="21"/>
                <w:szCs w:val="21"/>
                <w:shd w:val="clear" w:color="auto" w:fill="FFFFFF"/>
              </w:rPr>
              <w:t>分</w:t>
            </w:r>
          </w:p>
          <w:p w14:paraId="1CCF15B0">
            <w:pPr>
              <w:pStyle w:val="8"/>
              <w:spacing w:line="240" w:lineRule="auto"/>
              <w:ind w:left="0"/>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2.技术部分</w:t>
            </w:r>
            <w:r>
              <w:rPr>
                <w:rFonts w:hint="eastAsia" w:ascii="宋体" w:hAnsi="宋体" w:cs="宋体"/>
                <w:color w:val="auto"/>
                <w:sz w:val="21"/>
                <w:szCs w:val="21"/>
                <w:shd w:val="clear" w:color="auto" w:fill="FFFFFF"/>
                <w:lang w:val="en-US" w:eastAsia="zh-CN"/>
              </w:rPr>
              <w:t>32</w:t>
            </w:r>
            <w:r>
              <w:rPr>
                <w:rFonts w:hint="eastAsia" w:ascii="宋体" w:hAnsi="宋体" w:eastAsia="宋体" w:cs="宋体"/>
                <w:color w:val="auto"/>
                <w:sz w:val="21"/>
                <w:szCs w:val="21"/>
                <w:shd w:val="clear" w:color="auto" w:fill="FFFFFF"/>
              </w:rPr>
              <w:t>分</w:t>
            </w:r>
          </w:p>
        </w:tc>
      </w:tr>
      <w:tr w14:paraId="52CE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750" w:type="dxa"/>
            <w:vMerge w:val="restart"/>
            <w:vAlign w:val="center"/>
          </w:tcPr>
          <w:p w14:paraId="03308017">
            <w:pPr>
              <w:pStyle w:val="8"/>
              <w:spacing w:line="240" w:lineRule="auto"/>
              <w:ind w:lef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技术评审</w:t>
            </w:r>
          </w:p>
        </w:tc>
        <w:tc>
          <w:tcPr>
            <w:tcW w:w="1757" w:type="dxa"/>
            <w:vAlign w:val="center"/>
          </w:tcPr>
          <w:p w14:paraId="678AD700">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评审因素</w:t>
            </w:r>
          </w:p>
        </w:tc>
        <w:tc>
          <w:tcPr>
            <w:tcW w:w="915" w:type="dxa"/>
            <w:vAlign w:val="center"/>
          </w:tcPr>
          <w:p w14:paraId="644AD6DB">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分值</w:t>
            </w:r>
          </w:p>
        </w:tc>
        <w:tc>
          <w:tcPr>
            <w:tcW w:w="5977" w:type="dxa"/>
            <w:gridSpan w:val="2"/>
            <w:vAlign w:val="center"/>
          </w:tcPr>
          <w:p w14:paraId="2BBCEDB9">
            <w:pPr>
              <w:spacing w:line="24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评审标准</w:t>
            </w:r>
          </w:p>
        </w:tc>
      </w:tr>
      <w:tr w14:paraId="4A1B7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750" w:type="dxa"/>
            <w:vMerge w:val="continue"/>
            <w:vAlign w:val="center"/>
          </w:tcPr>
          <w:p w14:paraId="74652942">
            <w:pPr>
              <w:pStyle w:val="8"/>
              <w:spacing w:line="240" w:lineRule="auto"/>
              <w:ind w:left="0"/>
              <w:jc w:val="center"/>
              <w:rPr>
                <w:rFonts w:hint="eastAsia" w:ascii="宋体" w:hAnsi="宋体" w:eastAsia="宋体" w:cs="宋体"/>
                <w:b/>
                <w:bCs/>
                <w:color w:val="auto"/>
                <w:sz w:val="21"/>
                <w:szCs w:val="21"/>
              </w:rPr>
            </w:pPr>
          </w:p>
        </w:tc>
        <w:tc>
          <w:tcPr>
            <w:tcW w:w="1757" w:type="dxa"/>
            <w:vAlign w:val="center"/>
          </w:tcPr>
          <w:p w14:paraId="592DBCEE">
            <w:pPr>
              <w:jc w:val="center"/>
              <w:rPr>
                <w:rFonts w:hint="eastAsia" w:ascii="宋体" w:hAnsi="宋体" w:eastAsia="宋体" w:cs="宋体"/>
                <w:color w:val="auto"/>
                <w:sz w:val="21"/>
                <w:szCs w:val="21"/>
              </w:rPr>
            </w:pPr>
            <w:r>
              <w:rPr>
                <w:rFonts w:hint="eastAsia" w:ascii="宋体" w:hAnsi="宋体"/>
                <w:color w:val="auto"/>
                <w:szCs w:val="21"/>
                <w:highlight w:val="none"/>
                <w:lang w:eastAsia="zh-CN"/>
              </w:rPr>
              <w:t>业主方</w:t>
            </w:r>
            <w:r>
              <w:rPr>
                <w:rFonts w:hint="eastAsia" w:ascii="宋体" w:hAnsi="宋体"/>
                <w:color w:val="auto"/>
                <w:szCs w:val="21"/>
                <w:highlight w:val="none"/>
              </w:rPr>
              <w:t>需求响应情况</w:t>
            </w:r>
          </w:p>
        </w:tc>
        <w:tc>
          <w:tcPr>
            <w:tcW w:w="915" w:type="dxa"/>
            <w:vAlign w:val="center"/>
          </w:tcPr>
          <w:p w14:paraId="4E9DC29C">
            <w:pPr>
              <w:pStyle w:val="5"/>
              <w:ind w:firstLine="0" w:firstLineChars="0"/>
              <w:jc w:val="center"/>
              <w:rPr>
                <w:rFonts w:hint="default" w:ascii="宋体" w:hAnsi="宋体" w:eastAsia="宋体" w:cs="宋体"/>
                <w:color w:val="auto"/>
                <w:sz w:val="21"/>
                <w:szCs w:val="21"/>
                <w:lang w:val="en-US" w:eastAsia="zh-CN"/>
              </w:rPr>
            </w:pPr>
            <w:r>
              <w:rPr>
                <w:rFonts w:hint="eastAsia" w:ascii="宋体" w:hAnsi="宋体" w:cs="宋体"/>
                <w:color w:val="auto"/>
                <w:szCs w:val="21"/>
                <w:highlight w:val="none"/>
                <w:lang w:val="en-US" w:eastAsia="zh-CN"/>
              </w:rPr>
              <w:t>3</w:t>
            </w:r>
          </w:p>
        </w:tc>
        <w:tc>
          <w:tcPr>
            <w:tcW w:w="5977" w:type="dxa"/>
            <w:gridSpan w:val="2"/>
            <w:vAlign w:val="top"/>
          </w:tcPr>
          <w:p w14:paraId="30A8F91E">
            <w:pPr>
              <w:rPr>
                <w:rFonts w:hint="eastAsia" w:ascii="宋体" w:hAnsi="宋体"/>
                <w:color w:val="auto"/>
                <w:szCs w:val="21"/>
                <w:highlight w:val="none"/>
              </w:rPr>
            </w:pPr>
            <w:r>
              <w:rPr>
                <w:rFonts w:hint="eastAsia" w:ascii="宋体" w:hAnsi="宋体"/>
                <w:color w:val="auto"/>
                <w:szCs w:val="21"/>
                <w:highlight w:val="none"/>
              </w:rPr>
              <w:t>根据</w:t>
            </w:r>
            <w:r>
              <w:rPr>
                <w:rFonts w:hint="eastAsia" w:ascii="宋体" w:hAnsi="宋体"/>
                <w:color w:val="auto"/>
                <w:szCs w:val="21"/>
                <w:highlight w:val="none"/>
                <w:lang w:eastAsia="zh-CN"/>
              </w:rPr>
              <w:t>响应服务商</w:t>
            </w:r>
            <w:r>
              <w:rPr>
                <w:rFonts w:hint="eastAsia" w:ascii="宋体" w:hAnsi="宋体"/>
                <w:color w:val="auto"/>
                <w:szCs w:val="21"/>
                <w:highlight w:val="none"/>
              </w:rPr>
              <w:t>的采购需求响应情况进行评选：</w:t>
            </w:r>
          </w:p>
          <w:p w14:paraId="712D2ABB">
            <w:pPr>
              <w:rPr>
                <w:rFonts w:hint="eastAsia" w:ascii="宋体" w:hAnsi="宋体"/>
                <w:color w:val="auto"/>
                <w:szCs w:val="21"/>
                <w:highlight w:val="none"/>
              </w:rPr>
            </w:pPr>
            <w:r>
              <w:rPr>
                <w:rFonts w:hint="eastAsia" w:ascii="宋体" w:hAnsi="宋体"/>
                <w:color w:val="auto"/>
                <w:szCs w:val="21"/>
                <w:highlight w:val="none"/>
              </w:rPr>
              <w:t>1.完全响应无偏离得</w:t>
            </w:r>
            <w:r>
              <w:rPr>
                <w:rFonts w:hint="eastAsia" w:ascii="宋体" w:hAnsi="宋体"/>
                <w:color w:val="auto"/>
                <w:szCs w:val="21"/>
                <w:highlight w:val="none"/>
                <w:lang w:val="en-US" w:eastAsia="zh-CN"/>
              </w:rPr>
              <w:t>3</w:t>
            </w:r>
            <w:r>
              <w:rPr>
                <w:rFonts w:hint="eastAsia" w:ascii="宋体" w:hAnsi="宋体"/>
                <w:color w:val="auto"/>
                <w:szCs w:val="21"/>
                <w:highlight w:val="none"/>
              </w:rPr>
              <w:t>分；</w:t>
            </w:r>
          </w:p>
          <w:p w14:paraId="516ED2BC">
            <w:pPr>
              <w:rPr>
                <w:rFonts w:hint="eastAsia" w:ascii="宋体" w:hAnsi="宋体"/>
                <w:color w:val="auto"/>
                <w:szCs w:val="21"/>
                <w:highlight w:val="none"/>
              </w:rPr>
            </w:pPr>
            <w:r>
              <w:rPr>
                <w:rFonts w:hint="eastAsia" w:ascii="宋体" w:hAnsi="宋体"/>
                <w:color w:val="auto"/>
                <w:szCs w:val="21"/>
                <w:highlight w:val="none"/>
              </w:rPr>
              <w:t>2.</w:t>
            </w:r>
            <w:r>
              <w:rPr>
                <w:rFonts w:hint="eastAsia"/>
                <w:lang w:val="en-US" w:eastAsia="zh-CN"/>
              </w:rPr>
              <w:t>“▲”参数</w:t>
            </w:r>
            <w:r>
              <w:rPr>
                <w:rFonts w:hint="eastAsia" w:ascii="宋体" w:hAnsi="宋体"/>
                <w:color w:val="auto"/>
                <w:szCs w:val="21"/>
                <w:highlight w:val="none"/>
              </w:rPr>
              <w:t>部分响应或部分不满足得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14:paraId="24AB5B7A">
            <w:pPr>
              <w:jc w:val="left"/>
              <w:rPr>
                <w:rFonts w:hint="eastAsia" w:ascii="宋体" w:hAnsi="宋体" w:eastAsia="宋体" w:cs="宋体"/>
                <w:color w:val="auto"/>
                <w:sz w:val="21"/>
                <w:szCs w:val="21"/>
              </w:rPr>
            </w:pPr>
            <w:r>
              <w:rPr>
                <w:rFonts w:hint="eastAsia" w:ascii="宋体" w:hAnsi="宋体"/>
                <w:color w:val="auto"/>
                <w:szCs w:val="21"/>
                <w:highlight w:val="none"/>
              </w:rPr>
              <w:t>3.不响应得0分。</w:t>
            </w:r>
          </w:p>
        </w:tc>
      </w:tr>
      <w:tr w14:paraId="0E08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4" w:hRule="atLeast"/>
        </w:trPr>
        <w:tc>
          <w:tcPr>
            <w:tcW w:w="750" w:type="dxa"/>
            <w:vMerge w:val="continue"/>
            <w:vAlign w:val="center"/>
          </w:tcPr>
          <w:p w14:paraId="171B5E71">
            <w:pPr>
              <w:pStyle w:val="8"/>
              <w:spacing w:line="240" w:lineRule="auto"/>
              <w:ind w:left="0"/>
              <w:jc w:val="center"/>
              <w:rPr>
                <w:rFonts w:hint="eastAsia" w:ascii="宋体" w:hAnsi="宋体" w:eastAsia="宋体" w:cs="宋体"/>
                <w:b/>
                <w:bCs/>
                <w:color w:val="auto"/>
                <w:sz w:val="21"/>
                <w:szCs w:val="21"/>
              </w:rPr>
            </w:pPr>
          </w:p>
        </w:tc>
        <w:tc>
          <w:tcPr>
            <w:tcW w:w="1757" w:type="dxa"/>
            <w:vAlign w:val="center"/>
          </w:tcPr>
          <w:p w14:paraId="20B4310A">
            <w:pPr>
              <w:widowControl/>
              <w:jc w:val="center"/>
              <w:rPr>
                <w:rFonts w:hint="eastAsia" w:ascii="宋体" w:hAnsi="宋体" w:eastAsia="宋体" w:cs="宋体"/>
                <w:color w:val="auto"/>
                <w:sz w:val="21"/>
                <w:szCs w:val="21"/>
                <w:lang w:val="en-US" w:eastAsia="zh-CN"/>
              </w:rPr>
            </w:pPr>
            <w:r>
              <w:rPr>
                <w:color w:val="auto"/>
                <w:szCs w:val="21"/>
                <w:highlight w:val="none"/>
              </w:rPr>
              <w:t>食堂管理服务方案</w:t>
            </w:r>
          </w:p>
        </w:tc>
        <w:tc>
          <w:tcPr>
            <w:tcW w:w="915" w:type="dxa"/>
            <w:vAlign w:val="center"/>
          </w:tcPr>
          <w:p w14:paraId="28D7CA93">
            <w:pPr>
              <w:pStyle w:val="5"/>
              <w:ind w:firstLine="105" w:firstLineChars="50"/>
              <w:jc w:val="center"/>
              <w:rPr>
                <w:rFonts w:hint="default" w:ascii="宋体" w:hAnsi="宋体" w:eastAsia="宋体" w:cs="宋体"/>
                <w:color w:val="auto"/>
                <w:sz w:val="21"/>
                <w:szCs w:val="21"/>
                <w:lang w:val="en-US" w:eastAsia="zh-CN"/>
              </w:rPr>
            </w:pPr>
            <w:r>
              <w:rPr>
                <w:rFonts w:hint="eastAsia" w:ascii="宋体" w:hAnsi="宋体" w:cs="宋体"/>
                <w:color w:val="auto"/>
                <w:szCs w:val="21"/>
                <w:highlight w:val="none"/>
                <w:lang w:val="en-US" w:eastAsia="zh-CN"/>
              </w:rPr>
              <w:t>8</w:t>
            </w:r>
          </w:p>
        </w:tc>
        <w:tc>
          <w:tcPr>
            <w:tcW w:w="5977" w:type="dxa"/>
            <w:gridSpan w:val="2"/>
            <w:vAlign w:val="top"/>
          </w:tcPr>
          <w:p w14:paraId="0D3FBFC9">
            <w:pPr>
              <w:jc w:val="left"/>
              <w:rPr>
                <w:rFonts w:hint="eastAsia" w:ascii="宋体" w:hAnsi="宋体" w:cs="宋体"/>
                <w:color w:val="auto"/>
                <w:szCs w:val="21"/>
                <w:highlight w:val="none"/>
              </w:rPr>
            </w:pPr>
            <w:r>
              <w:rPr>
                <w:rFonts w:hint="eastAsia" w:ascii="宋体" w:hAnsi="宋体" w:cs="宋体"/>
                <w:color w:val="auto"/>
                <w:szCs w:val="21"/>
                <w:highlight w:val="none"/>
              </w:rPr>
              <w:t>对各</w:t>
            </w:r>
            <w:r>
              <w:rPr>
                <w:rFonts w:hint="eastAsia" w:ascii="宋体" w:hAnsi="宋体" w:cs="宋体"/>
                <w:color w:val="auto"/>
                <w:szCs w:val="21"/>
                <w:highlight w:val="none"/>
                <w:lang w:eastAsia="zh-CN"/>
              </w:rPr>
              <w:t>响应服务商</w:t>
            </w:r>
            <w:r>
              <w:rPr>
                <w:rFonts w:hint="eastAsia" w:ascii="宋体" w:hAnsi="宋体" w:cs="宋体"/>
                <w:color w:val="auto"/>
                <w:szCs w:val="21"/>
                <w:highlight w:val="none"/>
              </w:rPr>
              <w:t>提供的食堂管理服务方案进行评审，包括但不限于</w:t>
            </w:r>
            <w:r>
              <w:rPr>
                <w:rFonts w:hint="eastAsia" w:ascii="宋体" w:hAnsi="宋体" w:cs="宋体"/>
                <w:color w:val="auto"/>
                <w:szCs w:val="21"/>
                <w:highlight w:val="none"/>
                <w:lang w:val="en-US" w:eastAsia="zh-CN"/>
              </w:rPr>
              <w:t>同类项目服务经验、</w:t>
            </w:r>
            <w:r>
              <w:rPr>
                <w:rFonts w:hint="eastAsia" w:ascii="宋体" w:hAnsi="宋体" w:cs="宋体"/>
                <w:color w:val="auto"/>
                <w:szCs w:val="21"/>
                <w:highlight w:val="none"/>
              </w:rPr>
              <w:t>服务团队的架构、厨房清洁卫生、消防安全管理、厨房日常工作检查、送餐管理、设施设备使用维护等进行评审：</w:t>
            </w:r>
          </w:p>
          <w:p w14:paraId="2ABF5D53">
            <w:pPr>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方案有具体的操作规范、计划安排科学合理、操作可行性强，得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14:paraId="3E666232">
            <w:pPr>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方案有较具体的操作规范，计划安排较合理、具有可操作性，得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2CD263B3">
            <w:pPr>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方案有基本的操作规范，计划安排不够合理，可操作性一般，得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36B4A221">
            <w:pPr>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方案有基本的操作规范，计划安排不合理，可操作性</w:t>
            </w:r>
            <w:r>
              <w:rPr>
                <w:rFonts w:hint="eastAsia" w:ascii="宋体" w:hAnsi="宋体" w:cs="宋体"/>
                <w:color w:val="auto"/>
                <w:szCs w:val="21"/>
                <w:highlight w:val="none"/>
                <w:lang w:val="en-US" w:eastAsia="zh-CN"/>
              </w:rPr>
              <w:t>差</w:t>
            </w:r>
            <w:r>
              <w:rPr>
                <w:rFonts w:hint="eastAsia" w:ascii="宋体" w:hAnsi="宋体" w:cs="宋体"/>
                <w:color w:val="auto"/>
                <w:szCs w:val="21"/>
                <w:highlight w:val="none"/>
              </w:rPr>
              <w:t>，得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57738B0F">
            <w:pPr>
              <w:jc w:val="left"/>
              <w:rPr>
                <w:rFonts w:hint="eastAsia" w:ascii="宋体" w:hAnsi="宋体" w:eastAsia="宋体" w:cs="宋体"/>
                <w:color w:val="auto"/>
                <w:sz w:val="21"/>
                <w:szCs w:val="21"/>
                <w:lang w:val="en-US" w:eastAsia="zh-CN"/>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无提供方案或方案不合理不得分。</w:t>
            </w:r>
          </w:p>
        </w:tc>
      </w:tr>
      <w:tr w14:paraId="773A7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50" w:type="dxa"/>
            <w:vMerge w:val="continue"/>
            <w:vAlign w:val="center"/>
          </w:tcPr>
          <w:p w14:paraId="472A1EDB">
            <w:pPr>
              <w:pStyle w:val="8"/>
              <w:spacing w:line="240" w:lineRule="auto"/>
              <w:ind w:left="0"/>
              <w:jc w:val="center"/>
              <w:rPr>
                <w:rFonts w:hint="eastAsia" w:ascii="宋体" w:hAnsi="宋体" w:eastAsia="宋体" w:cs="宋体"/>
                <w:b/>
                <w:bCs/>
                <w:color w:val="auto"/>
                <w:sz w:val="21"/>
                <w:szCs w:val="21"/>
              </w:rPr>
            </w:pPr>
          </w:p>
        </w:tc>
        <w:tc>
          <w:tcPr>
            <w:tcW w:w="1757" w:type="dxa"/>
            <w:vAlign w:val="center"/>
          </w:tcPr>
          <w:p w14:paraId="189D4328">
            <w:pPr>
              <w:jc w:val="center"/>
              <w:rPr>
                <w:rFonts w:hint="default" w:ascii="宋体" w:hAnsi="宋体" w:eastAsia="宋体" w:cs="宋体"/>
                <w:color w:val="auto"/>
                <w:sz w:val="21"/>
                <w:szCs w:val="21"/>
                <w:lang w:val="en-US" w:eastAsia="zh-CN"/>
              </w:rPr>
            </w:pPr>
            <w:r>
              <w:rPr>
                <w:rFonts w:hint="eastAsia" w:ascii="宋体" w:hAnsi="宋体" w:cs="宋体"/>
                <w:color w:val="auto"/>
                <w:szCs w:val="21"/>
                <w:highlight w:val="none"/>
              </w:rPr>
              <w:t xml:space="preserve">食品安全、原材料管理及食品卫生管理方案 </w:t>
            </w:r>
          </w:p>
        </w:tc>
        <w:tc>
          <w:tcPr>
            <w:tcW w:w="915" w:type="dxa"/>
            <w:vAlign w:val="center"/>
          </w:tcPr>
          <w:p w14:paraId="51FBB955">
            <w:pPr>
              <w:jc w:val="center"/>
              <w:rPr>
                <w:rFonts w:hint="default" w:ascii="宋体" w:hAnsi="宋体" w:eastAsia="宋体" w:cs="宋体"/>
                <w:color w:val="auto"/>
                <w:sz w:val="21"/>
                <w:szCs w:val="21"/>
                <w:lang w:val="en-US" w:eastAsia="zh-CN"/>
              </w:rPr>
            </w:pPr>
            <w:r>
              <w:rPr>
                <w:rFonts w:hint="eastAsia" w:ascii="宋体" w:hAnsi="宋体" w:cs="宋体"/>
                <w:color w:val="auto"/>
                <w:szCs w:val="21"/>
                <w:highlight w:val="none"/>
                <w:lang w:val="en-US" w:eastAsia="zh-CN"/>
              </w:rPr>
              <w:t>8</w:t>
            </w:r>
          </w:p>
        </w:tc>
        <w:tc>
          <w:tcPr>
            <w:tcW w:w="5977" w:type="dxa"/>
            <w:gridSpan w:val="2"/>
            <w:vAlign w:val="top"/>
          </w:tcPr>
          <w:p w14:paraId="43544A41">
            <w:pPr>
              <w:rPr>
                <w:rFonts w:hint="eastAsia" w:ascii="宋体" w:hAnsi="宋体" w:cs="宋体"/>
                <w:color w:val="auto"/>
                <w:szCs w:val="21"/>
                <w:highlight w:val="none"/>
              </w:rPr>
            </w:pPr>
            <w:r>
              <w:rPr>
                <w:rFonts w:hint="eastAsia" w:ascii="宋体" w:hAnsi="宋体" w:cs="宋体"/>
                <w:color w:val="auto"/>
                <w:szCs w:val="21"/>
                <w:highlight w:val="none"/>
              </w:rPr>
              <w:t>对各</w:t>
            </w:r>
            <w:r>
              <w:rPr>
                <w:rFonts w:hint="eastAsia" w:ascii="宋体" w:hAnsi="宋体" w:cs="宋体"/>
                <w:color w:val="auto"/>
                <w:szCs w:val="21"/>
                <w:highlight w:val="none"/>
                <w:lang w:eastAsia="zh-CN"/>
              </w:rPr>
              <w:t>响应服务商</w:t>
            </w:r>
            <w:r>
              <w:rPr>
                <w:rFonts w:hint="eastAsia" w:ascii="宋体" w:hAnsi="宋体" w:cs="宋体"/>
                <w:color w:val="auto"/>
                <w:szCs w:val="21"/>
                <w:highlight w:val="none"/>
              </w:rPr>
              <w:t xml:space="preserve">的食品安全、原材料管理及食品卫生管理方案进行评审： </w:t>
            </w:r>
          </w:p>
          <w:p w14:paraId="7129D397">
            <w:pPr>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食品安全、原材料管理及食品卫生管理方案科学、合理、可行性强，得</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分；</w:t>
            </w:r>
          </w:p>
          <w:p w14:paraId="486453F0">
            <w:pPr>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食品安全、原材料管理及食品卫生管理方案较科学、较合理、可行性较强，得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4EAB5611">
            <w:pPr>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食品安全、原材料管理及食品卫生管理方案一般、合理性一般、可行性一般</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283A7594">
            <w:pPr>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食品安全、原材料管理及食品卫生管理方案</w:t>
            </w:r>
            <w:r>
              <w:rPr>
                <w:rFonts w:hint="eastAsia" w:ascii="宋体" w:hAnsi="宋体" w:cs="宋体"/>
                <w:color w:val="auto"/>
                <w:szCs w:val="21"/>
                <w:highlight w:val="none"/>
                <w:lang w:val="en-US" w:eastAsia="zh-CN"/>
              </w:rPr>
              <w:t>差</w:t>
            </w:r>
            <w:r>
              <w:rPr>
                <w:rFonts w:hint="eastAsia" w:ascii="宋体" w:hAnsi="宋体" w:cs="宋体"/>
                <w:color w:val="auto"/>
                <w:szCs w:val="21"/>
                <w:highlight w:val="none"/>
              </w:rPr>
              <w:t>、合理性一</w:t>
            </w:r>
            <w:r>
              <w:rPr>
                <w:rFonts w:hint="eastAsia" w:ascii="宋体" w:hAnsi="宋体" w:cs="宋体"/>
                <w:color w:val="auto"/>
                <w:szCs w:val="21"/>
                <w:highlight w:val="none"/>
                <w:lang w:val="en-US" w:eastAsia="zh-CN"/>
              </w:rPr>
              <w:t>差</w:t>
            </w:r>
            <w:r>
              <w:rPr>
                <w:rFonts w:hint="eastAsia" w:ascii="宋体" w:hAnsi="宋体" w:cs="宋体"/>
                <w:color w:val="auto"/>
                <w:szCs w:val="21"/>
                <w:highlight w:val="none"/>
              </w:rPr>
              <w:t>、可行性一般，</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452E84D4">
            <w:pPr>
              <w:jc w:val="left"/>
              <w:rPr>
                <w:rFonts w:hint="eastAsia" w:ascii="宋体" w:hAnsi="宋体" w:eastAsia="宋体" w:cs="宋体"/>
                <w:color w:val="auto"/>
                <w:sz w:val="21"/>
                <w:szCs w:val="21"/>
                <w:lang w:val="en-US" w:eastAsia="zh-CN"/>
              </w:rPr>
            </w:pPr>
            <w:r>
              <w:rPr>
                <w:rFonts w:hint="eastAsia"/>
                <w:color w:val="auto"/>
                <w:szCs w:val="21"/>
                <w:highlight w:val="none"/>
                <w:lang w:val="en-US" w:eastAsia="zh-CN"/>
              </w:rPr>
              <w:t>5.</w:t>
            </w:r>
            <w:r>
              <w:rPr>
                <w:rFonts w:hint="eastAsia"/>
                <w:color w:val="auto"/>
                <w:szCs w:val="21"/>
                <w:highlight w:val="none"/>
              </w:rPr>
              <w:t>无方案</w:t>
            </w:r>
            <w:r>
              <w:rPr>
                <w:color w:val="auto"/>
                <w:szCs w:val="21"/>
                <w:highlight w:val="none"/>
              </w:rPr>
              <w:t>或方案不合理不得分。</w:t>
            </w:r>
          </w:p>
        </w:tc>
      </w:tr>
      <w:tr w14:paraId="7B4C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750" w:type="dxa"/>
            <w:vMerge w:val="continue"/>
            <w:vAlign w:val="center"/>
          </w:tcPr>
          <w:p w14:paraId="2E08DC58">
            <w:pPr>
              <w:pStyle w:val="8"/>
              <w:spacing w:line="240" w:lineRule="auto"/>
              <w:ind w:left="0"/>
              <w:jc w:val="center"/>
              <w:rPr>
                <w:rFonts w:hint="eastAsia" w:ascii="宋体" w:hAnsi="宋体" w:eastAsia="宋体" w:cs="宋体"/>
                <w:b/>
                <w:bCs/>
                <w:color w:val="auto"/>
                <w:sz w:val="21"/>
                <w:szCs w:val="21"/>
              </w:rPr>
            </w:pPr>
          </w:p>
        </w:tc>
        <w:tc>
          <w:tcPr>
            <w:tcW w:w="1757" w:type="dxa"/>
            <w:vAlign w:val="center"/>
          </w:tcPr>
          <w:p w14:paraId="6248526A">
            <w:pPr>
              <w:jc w:val="center"/>
              <w:rPr>
                <w:rFonts w:hint="default" w:ascii="宋体" w:hAnsi="宋体" w:eastAsia="宋体" w:cs="宋体"/>
                <w:color w:val="auto"/>
                <w:sz w:val="21"/>
                <w:szCs w:val="21"/>
                <w:lang w:val="en-US" w:eastAsia="zh-CN"/>
              </w:rPr>
            </w:pPr>
            <w:r>
              <w:rPr>
                <w:rFonts w:hint="eastAsia" w:ascii="宋体" w:hAnsi="宋体"/>
                <w:color w:val="auto"/>
                <w:szCs w:val="21"/>
                <w:highlight w:val="none"/>
              </w:rPr>
              <w:t>菜式菜谱编制能力</w:t>
            </w:r>
          </w:p>
        </w:tc>
        <w:tc>
          <w:tcPr>
            <w:tcW w:w="915" w:type="dxa"/>
            <w:vAlign w:val="center"/>
          </w:tcPr>
          <w:p w14:paraId="5DED5D0D">
            <w:pPr>
              <w:pStyle w:val="5"/>
              <w:ind w:firstLine="105" w:firstLineChars="50"/>
              <w:jc w:val="center"/>
              <w:rPr>
                <w:rFonts w:hint="default" w:ascii="宋体" w:hAnsi="宋体" w:eastAsia="宋体" w:cs="宋体"/>
                <w:color w:val="auto"/>
                <w:sz w:val="21"/>
                <w:szCs w:val="21"/>
                <w:lang w:val="en-US" w:eastAsia="zh-CN"/>
              </w:rPr>
            </w:pPr>
            <w:r>
              <w:rPr>
                <w:rFonts w:hint="eastAsia" w:ascii="宋体" w:hAnsi="宋体" w:cs="宋体"/>
                <w:color w:val="auto"/>
                <w:szCs w:val="21"/>
                <w:highlight w:val="none"/>
                <w:lang w:val="en-US" w:eastAsia="zh-CN"/>
              </w:rPr>
              <w:t>8</w:t>
            </w:r>
          </w:p>
        </w:tc>
        <w:tc>
          <w:tcPr>
            <w:tcW w:w="5977" w:type="dxa"/>
            <w:gridSpan w:val="2"/>
            <w:vAlign w:val="top"/>
          </w:tcPr>
          <w:p w14:paraId="4ABBE974">
            <w:pPr>
              <w:rPr>
                <w:rFonts w:hint="eastAsia" w:ascii="宋体" w:hAnsi="宋体"/>
                <w:color w:val="auto"/>
                <w:szCs w:val="21"/>
                <w:highlight w:val="none"/>
              </w:rPr>
            </w:pPr>
            <w:r>
              <w:rPr>
                <w:rFonts w:hint="eastAsia" w:ascii="宋体" w:hAnsi="宋体"/>
                <w:color w:val="auto"/>
                <w:szCs w:val="21"/>
                <w:highlight w:val="none"/>
                <w:lang w:eastAsia="zh-CN"/>
              </w:rPr>
              <w:t>响应服务商</w:t>
            </w:r>
            <w:r>
              <w:rPr>
                <w:rFonts w:hint="eastAsia" w:ascii="宋体" w:hAnsi="宋体"/>
                <w:color w:val="auto"/>
                <w:szCs w:val="21"/>
                <w:highlight w:val="none"/>
              </w:rPr>
              <w:t>根据拟实施的供餐模式，以及满足就餐人员口味等要求，提供一周食谱作为参考，提供营养餐、治疗餐服务方案且具有相关服务经验。</w:t>
            </w:r>
          </w:p>
          <w:p w14:paraId="387C5C41">
            <w:pPr>
              <w:numPr>
                <w:ilvl w:val="0"/>
                <w:numId w:val="4"/>
              </w:numPr>
              <w:rPr>
                <w:rFonts w:hint="eastAsia" w:ascii="宋体" w:hAnsi="宋体"/>
                <w:color w:val="auto"/>
                <w:szCs w:val="21"/>
                <w:highlight w:val="none"/>
              </w:rPr>
            </w:pPr>
            <w:r>
              <w:rPr>
                <w:rFonts w:hint="eastAsia" w:ascii="宋体" w:hAnsi="宋体"/>
                <w:color w:val="auto"/>
                <w:szCs w:val="21"/>
                <w:highlight w:val="none"/>
              </w:rPr>
              <w:t>营养搭配均衡，品种多样，具有营养配餐经验方案科学，满足或优于</w:t>
            </w:r>
            <w:r>
              <w:rPr>
                <w:rFonts w:hint="eastAsia" w:ascii="宋体" w:hAnsi="宋体"/>
                <w:color w:val="auto"/>
                <w:szCs w:val="21"/>
                <w:highlight w:val="none"/>
                <w:lang w:eastAsia="zh-CN"/>
              </w:rPr>
              <w:t>遴选文件</w:t>
            </w:r>
            <w:r>
              <w:rPr>
                <w:rFonts w:hint="eastAsia" w:ascii="宋体" w:hAnsi="宋体"/>
                <w:color w:val="auto"/>
                <w:szCs w:val="21"/>
                <w:highlight w:val="none"/>
              </w:rPr>
              <w:t>要求，优得</w:t>
            </w:r>
            <w:r>
              <w:rPr>
                <w:rFonts w:hint="eastAsia" w:ascii="宋体" w:hAnsi="宋体"/>
                <w:color w:val="auto"/>
                <w:szCs w:val="21"/>
                <w:highlight w:val="none"/>
                <w:lang w:val="en-US" w:eastAsia="zh-CN"/>
              </w:rPr>
              <w:t>8</w:t>
            </w:r>
            <w:r>
              <w:rPr>
                <w:rFonts w:hint="eastAsia" w:ascii="宋体" w:hAnsi="宋体"/>
                <w:color w:val="auto"/>
                <w:szCs w:val="21"/>
                <w:highlight w:val="none"/>
              </w:rPr>
              <w:t>分；</w:t>
            </w:r>
          </w:p>
          <w:p w14:paraId="5B03D842">
            <w:pPr>
              <w:numPr>
                <w:ilvl w:val="0"/>
                <w:numId w:val="4"/>
              </w:numPr>
              <w:rPr>
                <w:rFonts w:hint="eastAsia"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营养搭配合理，品种较多样，满足</w:t>
            </w:r>
            <w:r>
              <w:rPr>
                <w:rFonts w:hint="eastAsia" w:ascii="宋体" w:hAnsi="宋体"/>
                <w:color w:val="auto"/>
                <w:szCs w:val="21"/>
                <w:highlight w:val="none"/>
                <w:lang w:eastAsia="zh-CN"/>
              </w:rPr>
              <w:t>遴选文件</w:t>
            </w:r>
            <w:r>
              <w:rPr>
                <w:rFonts w:hint="eastAsia" w:ascii="宋体" w:hAnsi="宋体"/>
                <w:color w:val="auto"/>
                <w:szCs w:val="21"/>
                <w:highlight w:val="none"/>
              </w:rPr>
              <w:t>要求，良得</w:t>
            </w:r>
            <w:r>
              <w:rPr>
                <w:rFonts w:hint="eastAsia" w:ascii="宋体" w:hAnsi="宋体"/>
                <w:color w:val="auto"/>
                <w:szCs w:val="21"/>
                <w:highlight w:val="none"/>
                <w:lang w:val="en-US" w:eastAsia="zh-CN"/>
              </w:rPr>
              <w:t>4</w:t>
            </w:r>
            <w:r>
              <w:rPr>
                <w:rFonts w:hint="eastAsia" w:ascii="宋体" w:hAnsi="宋体"/>
                <w:color w:val="auto"/>
                <w:szCs w:val="21"/>
                <w:highlight w:val="none"/>
              </w:rPr>
              <w:t>分；</w:t>
            </w:r>
          </w:p>
          <w:p w14:paraId="5AEB728F">
            <w:pPr>
              <w:rPr>
                <w:rFonts w:hint="eastAsia"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w:t>
            </w:r>
            <w:r>
              <w:rPr>
                <w:rFonts w:hint="eastAsia" w:ascii="宋体" w:hAnsi="宋体"/>
                <w:color w:val="auto"/>
                <w:szCs w:val="21"/>
                <w:highlight w:val="none"/>
              </w:rPr>
              <w:t>营养搭配一般，品种一般，基本满足</w:t>
            </w:r>
            <w:r>
              <w:rPr>
                <w:rFonts w:hint="eastAsia" w:ascii="宋体" w:hAnsi="宋体"/>
                <w:color w:val="auto"/>
                <w:szCs w:val="21"/>
                <w:highlight w:val="none"/>
                <w:lang w:eastAsia="zh-CN"/>
              </w:rPr>
              <w:t>遴选文件</w:t>
            </w:r>
            <w:r>
              <w:rPr>
                <w:rFonts w:hint="eastAsia" w:ascii="宋体" w:hAnsi="宋体"/>
                <w:color w:val="auto"/>
                <w:szCs w:val="21"/>
                <w:highlight w:val="none"/>
              </w:rPr>
              <w:t>要求，一般得</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14:paraId="2A752B87">
            <w:pP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4.</w:t>
            </w:r>
            <w:r>
              <w:rPr>
                <w:rFonts w:hint="eastAsia" w:ascii="宋体" w:hAnsi="宋体"/>
                <w:color w:val="auto"/>
                <w:szCs w:val="21"/>
                <w:highlight w:val="none"/>
              </w:rPr>
              <w:t>营养搭配</w:t>
            </w:r>
            <w:r>
              <w:rPr>
                <w:rFonts w:hint="eastAsia" w:ascii="宋体" w:hAnsi="宋体"/>
                <w:color w:val="auto"/>
                <w:szCs w:val="21"/>
                <w:highlight w:val="none"/>
                <w:lang w:val="en-US" w:eastAsia="zh-CN"/>
              </w:rPr>
              <w:t>差</w:t>
            </w:r>
            <w:r>
              <w:rPr>
                <w:rFonts w:hint="eastAsia" w:ascii="宋体" w:hAnsi="宋体"/>
                <w:color w:val="auto"/>
                <w:szCs w:val="21"/>
                <w:highlight w:val="none"/>
              </w:rPr>
              <w:t>，品种一般，基本满足</w:t>
            </w:r>
            <w:r>
              <w:rPr>
                <w:rFonts w:hint="eastAsia" w:ascii="宋体" w:hAnsi="宋体"/>
                <w:color w:val="auto"/>
                <w:szCs w:val="21"/>
                <w:highlight w:val="none"/>
                <w:lang w:eastAsia="zh-CN"/>
              </w:rPr>
              <w:t>遴选文件</w:t>
            </w:r>
            <w:r>
              <w:rPr>
                <w:rFonts w:hint="eastAsia" w:ascii="宋体" w:hAnsi="宋体"/>
                <w:color w:val="auto"/>
                <w:szCs w:val="21"/>
                <w:highlight w:val="none"/>
              </w:rPr>
              <w:t>要求，一般得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14:paraId="3BB50558">
            <w:pPr>
              <w:jc w:val="left"/>
              <w:rPr>
                <w:rFonts w:hint="eastAsia"/>
                <w:color w:val="auto"/>
                <w:lang w:val="en-US" w:eastAsia="zh-CN"/>
              </w:rPr>
            </w:pP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olor w:val="auto"/>
                <w:szCs w:val="21"/>
                <w:highlight w:val="none"/>
              </w:rPr>
              <w:t>不提供方案得0分。</w:t>
            </w:r>
          </w:p>
        </w:tc>
      </w:tr>
      <w:tr w14:paraId="7100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2" w:hRule="atLeast"/>
        </w:trPr>
        <w:tc>
          <w:tcPr>
            <w:tcW w:w="750" w:type="dxa"/>
            <w:vMerge w:val="continue"/>
            <w:vAlign w:val="center"/>
          </w:tcPr>
          <w:p w14:paraId="0AC44A7B">
            <w:pPr>
              <w:pStyle w:val="8"/>
              <w:spacing w:line="240" w:lineRule="auto"/>
              <w:ind w:left="0"/>
              <w:jc w:val="center"/>
              <w:rPr>
                <w:rFonts w:hint="eastAsia" w:ascii="宋体" w:hAnsi="宋体" w:eastAsia="宋体" w:cs="宋体"/>
                <w:b/>
                <w:bCs/>
                <w:color w:val="auto"/>
                <w:sz w:val="21"/>
                <w:szCs w:val="21"/>
              </w:rPr>
            </w:pPr>
          </w:p>
        </w:tc>
        <w:tc>
          <w:tcPr>
            <w:tcW w:w="1757" w:type="dxa"/>
            <w:vAlign w:val="center"/>
          </w:tcPr>
          <w:p w14:paraId="2724C0E9">
            <w:pPr>
              <w:jc w:val="center"/>
              <w:rPr>
                <w:rFonts w:hint="eastAsia" w:ascii="宋体" w:hAnsi="宋体" w:eastAsia="宋体" w:cs="宋体"/>
                <w:color w:val="auto"/>
                <w:sz w:val="21"/>
                <w:szCs w:val="21"/>
                <w:lang w:val="en-US" w:eastAsia="zh-CN"/>
              </w:rPr>
            </w:pPr>
            <w:r>
              <w:rPr>
                <w:rFonts w:hint="eastAsia"/>
                <w:color w:val="auto"/>
                <w:szCs w:val="21"/>
                <w:highlight w:val="none"/>
              </w:rPr>
              <w:t>应急预案</w:t>
            </w:r>
          </w:p>
        </w:tc>
        <w:tc>
          <w:tcPr>
            <w:tcW w:w="915" w:type="dxa"/>
            <w:vAlign w:val="center"/>
          </w:tcPr>
          <w:p w14:paraId="7F2E512F">
            <w:pPr>
              <w:pStyle w:val="5"/>
              <w:ind w:firstLine="105" w:firstLineChars="50"/>
              <w:jc w:val="center"/>
              <w:rPr>
                <w:rFonts w:hint="default" w:ascii="宋体" w:hAnsi="宋体" w:eastAsia="宋体" w:cs="宋体"/>
                <w:color w:val="auto"/>
                <w:sz w:val="21"/>
                <w:szCs w:val="21"/>
                <w:lang w:val="en-US" w:eastAsia="zh-CN"/>
              </w:rPr>
            </w:pPr>
            <w:r>
              <w:rPr>
                <w:rFonts w:hint="eastAsia" w:ascii="宋体" w:hAnsi="宋体" w:cs="宋体"/>
                <w:color w:val="auto"/>
                <w:szCs w:val="21"/>
                <w:highlight w:val="none"/>
                <w:lang w:val="en-US" w:eastAsia="zh-CN"/>
              </w:rPr>
              <w:t>2</w:t>
            </w:r>
          </w:p>
        </w:tc>
        <w:tc>
          <w:tcPr>
            <w:tcW w:w="5977" w:type="dxa"/>
            <w:gridSpan w:val="2"/>
            <w:vAlign w:val="top"/>
          </w:tcPr>
          <w:p w14:paraId="0C37300E">
            <w:pPr>
              <w:jc w:val="left"/>
              <w:rPr>
                <w:rFonts w:hint="eastAsia" w:ascii="宋体" w:hAnsi="宋体" w:cs="宋体"/>
                <w:color w:val="auto"/>
                <w:szCs w:val="21"/>
                <w:highlight w:val="none"/>
              </w:rPr>
            </w:pPr>
            <w:r>
              <w:rPr>
                <w:rFonts w:hint="eastAsia" w:ascii="宋体" w:hAnsi="宋体" w:cs="宋体"/>
                <w:color w:val="auto"/>
                <w:szCs w:val="21"/>
                <w:highlight w:val="none"/>
              </w:rPr>
              <w:t>根据</w:t>
            </w:r>
            <w:r>
              <w:rPr>
                <w:rFonts w:hint="eastAsia" w:ascii="宋体" w:hAnsi="宋体" w:cs="宋体"/>
                <w:color w:val="auto"/>
                <w:szCs w:val="21"/>
                <w:highlight w:val="none"/>
                <w:lang w:eastAsia="zh-CN"/>
              </w:rPr>
              <w:t>响应服务商</w:t>
            </w:r>
            <w:r>
              <w:rPr>
                <w:rFonts w:hint="eastAsia" w:ascii="宋体" w:hAnsi="宋体" w:cs="宋体"/>
                <w:color w:val="auto"/>
                <w:szCs w:val="21"/>
                <w:highlight w:val="none"/>
              </w:rPr>
              <w:t>提供的应急预案（包括但不限于火灾、食物中毒预防、中毒事件应急预案、停水停电应急预案等）进行评审：</w:t>
            </w:r>
          </w:p>
          <w:p w14:paraId="36B5BD50">
            <w:pPr>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方案准确完善、内容科学合理、可操作性强，完全满足用户需求的得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0A22F0CC">
            <w:pPr>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方案基本完善、内容基本合理、可操作性强，基本满足用户需求的得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6107D575">
            <w:pPr>
              <w:jc w:val="left"/>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方案基本完善、内容基本合理、无可操作性，仅部分满足用户需求的得</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分；</w:t>
            </w:r>
          </w:p>
          <w:p w14:paraId="09A97BC4">
            <w:pPr>
              <w:jc w:val="left"/>
              <w:rPr>
                <w:rFonts w:hint="eastAsia" w:ascii="宋体" w:hAnsi="宋体" w:eastAsia="宋体" w:cs="宋体"/>
                <w:color w:val="auto"/>
                <w:sz w:val="21"/>
                <w:szCs w:val="21"/>
                <w:lang w:val="en-US" w:eastAsia="zh-CN"/>
              </w:rPr>
            </w:pPr>
            <w:r>
              <w:rPr>
                <w:rFonts w:hint="eastAsia"/>
                <w:color w:val="auto"/>
                <w:szCs w:val="21"/>
                <w:highlight w:val="none"/>
                <w:lang w:val="en-US" w:eastAsia="zh-CN"/>
              </w:rPr>
              <w:t>4.</w:t>
            </w:r>
            <w:r>
              <w:rPr>
                <w:color w:val="auto"/>
                <w:szCs w:val="21"/>
                <w:highlight w:val="none"/>
              </w:rPr>
              <w:t>无提供方案或方案不合理不得分。</w:t>
            </w:r>
          </w:p>
        </w:tc>
      </w:tr>
      <w:tr w14:paraId="04DE2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50" w:type="dxa"/>
            <w:vMerge w:val="continue"/>
            <w:vAlign w:val="center"/>
          </w:tcPr>
          <w:p w14:paraId="20404BCD">
            <w:pPr>
              <w:pStyle w:val="8"/>
              <w:spacing w:line="240" w:lineRule="auto"/>
              <w:ind w:left="0"/>
              <w:jc w:val="center"/>
              <w:rPr>
                <w:rFonts w:hint="eastAsia" w:ascii="宋体" w:hAnsi="宋体" w:eastAsia="宋体" w:cs="宋体"/>
                <w:b/>
                <w:bCs/>
                <w:color w:val="auto"/>
                <w:sz w:val="21"/>
                <w:szCs w:val="21"/>
              </w:rPr>
            </w:pPr>
          </w:p>
        </w:tc>
        <w:tc>
          <w:tcPr>
            <w:tcW w:w="1757" w:type="dxa"/>
            <w:shd w:val="clear" w:color="auto" w:fill="auto"/>
            <w:vAlign w:val="center"/>
          </w:tcPr>
          <w:p w14:paraId="7C2939FB">
            <w:pPr>
              <w:jc w:val="center"/>
              <w:rPr>
                <w:rFonts w:hint="eastAsia" w:ascii="宋体" w:hAnsi="宋体" w:eastAsia="宋体" w:cs="宋体"/>
                <w:color w:val="auto"/>
                <w:kern w:val="2"/>
                <w:sz w:val="21"/>
                <w:szCs w:val="21"/>
                <w:lang w:val="en-US" w:eastAsia="zh-CN" w:bidi="ar-SA"/>
              </w:rPr>
            </w:pPr>
            <w:r>
              <w:rPr>
                <w:rFonts w:hint="eastAsia"/>
                <w:color w:val="auto"/>
                <w:szCs w:val="21"/>
                <w:highlight w:val="none"/>
              </w:rPr>
              <w:t>信息化方案</w:t>
            </w:r>
          </w:p>
        </w:tc>
        <w:tc>
          <w:tcPr>
            <w:tcW w:w="915" w:type="dxa"/>
            <w:shd w:val="clear" w:color="auto" w:fill="auto"/>
            <w:vAlign w:val="center"/>
          </w:tcPr>
          <w:p w14:paraId="6EAC57F8">
            <w:pPr>
              <w:pStyle w:val="5"/>
              <w:ind w:firstLine="105" w:firstLineChars="5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highlight w:val="none"/>
                <w:lang w:val="en-US" w:eastAsia="zh-CN"/>
              </w:rPr>
              <w:t>8</w:t>
            </w:r>
          </w:p>
        </w:tc>
        <w:tc>
          <w:tcPr>
            <w:tcW w:w="5977" w:type="dxa"/>
            <w:gridSpan w:val="2"/>
            <w:shd w:val="clear" w:color="auto" w:fill="auto"/>
            <w:vAlign w:val="top"/>
          </w:tcPr>
          <w:p w14:paraId="16AE7C6C">
            <w:pPr>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lang w:eastAsia="zh-CN"/>
              </w:rPr>
              <w:t>响应服务商</w:t>
            </w:r>
            <w:r>
              <w:rPr>
                <w:rFonts w:hint="eastAsia" w:ascii="宋体" w:hAnsi="宋体" w:cs="宋体"/>
                <w:color w:val="auto"/>
                <w:szCs w:val="21"/>
                <w:highlight w:val="none"/>
              </w:rPr>
              <w:t>已投入使用的智慧餐饮系统，并承诺中标后可运用到本项目</w:t>
            </w:r>
            <w:r>
              <w:rPr>
                <w:rFonts w:hint="eastAsia" w:ascii="宋体" w:hAnsi="宋体" w:cs="宋体"/>
                <w:color w:val="auto"/>
                <w:szCs w:val="21"/>
                <w:highlight w:val="none"/>
                <w:lang w:val="zh-CN"/>
              </w:rPr>
              <w:t>应当具备订餐系统、IC卡消费系统功能开发、配置能力，IC卡具有移动刷卡、个人充值、</w:t>
            </w:r>
            <w:r>
              <w:rPr>
                <w:rFonts w:hint="eastAsia" w:ascii="宋体" w:hAnsi="宋体" w:cs="宋体"/>
                <w:color w:val="auto"/>
                <w:szCs w:val="21"/>
                <w:highlight w:val="none"/>
              </w:rPr>
              <w:t>兼容</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现有</w:t>
            </w:r>
            <w:r>
              <w:rPr>
                <w:rFonts w:hint="eastAsia" w:ascii="宋体" w:hAnsi="宋体" w:cs="宋体"/>
                <w:color w:val="auto"/>
                <w:szCs w:val="21"/>
                <w:highlight w:val="none"/>
                <w:lang w:val="zh-CN"/>
              </w:rPr>
              <w:t>门禁等功能，结算报表能区分招标人充值和个人充值。</w:t>
            </w:r>
            <w:r>
              <w:rPr>
                <w:rFonts w:hint="eastAsia" w:ascii="宋体" w:hAnsi="宋体" w:cs="宋体"/>
                <w:color w:val="auto"/>
                <w:szCs w:val="21"/>
                <w:highlight w:val="none"/>
              </w:rPr>
              <w:t>饭堂信息系统应具备以下功能：</w:t>
            </w:r>
          </w:p>
          <w:p w14:paraId="33A21BF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具有饭堂APP网上订餐系统（提供该即将上线APP的相关材料，例如操作界面截图、运行方案等）：</w:t>
            </w:r>
          </w:p>
          <w:p w14:paraId="798B60D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具备专有订餐APP且可直接网上订餐。</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的员工可通过手机号或员工代码登录APP，患者或家属通过手机号登录。APP网上订餐系统应可以接受患者信息（病区、姓名、住院号、床号）和员工信息（员工姓名、工号或手机号等）进行订餐，并出具菜品单价明细小票。</w:t>
            </w:r>
          </w:p>
          <w:p w14:paraId="329E27C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从饭堂APP网上订餐后，消费者可以查询所订餐食的物流进度，订单完成后还可以在APP网上订餐系统进行消费评价（具有图片上传功能）。</w:t>
            </w:r>
          </w:p>
          <w:p w14:paraId="24282005">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饭堂APP网上订餐系统应有预约点餐（例如提前1天下单）、临时取消订单及增加订单的功能，还具有配送餐方式（有堂食、配送、自提或他人代取</w:t>
            </w:r>
            <w:r>
              <w:rPr>
                <w:rFonts w:hint="eastAsia" w:ascii="宋体" w:hAnsi="宋体" w:cs="宋体"/>
                <w:color w:val="auto"/>
                <w:szCs w:val="21"/>
                <w:highlight w:val="none"/>
                <w:lang w:eastAsia="zh-CN"/>
              </w:rPr>
              <w:t>，</w:t>
            </w:r>
            <w:r>
              <w:rPr>
                <w:rFonts w:hint="eastAsia" w:ascii="宋体" w:hAnsi="宋体" w:cs="宋体"/>
                <w:color w:val="auto"/>
                <w:szCs w:val="21"/>
                <w:highlight w:val="none"/>
              </w:rPr>
              <w:t>如由他人代取，需设置核对确认环节如随机取餐码）等多种配送方式的选择。</w:t>
            </w:r>
          </w:p>
          <w:p w14:paraId="2A1EE557">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饭堂信息化系统应具备医院员工在饭堂消费时，系统应具有：“按医院员工就餐补助规则，在系统中直接扣减补贴金额后，再从员工个人饭卡</w:t>
            </w:r>
            <w:r>
              <w:rPr>
                <w:rFonts w:hint="eastAsia" w:ascii="宋体" w:hAnsi="宋体" w:cs="宋体"/>
                <w:color w:val="auto"/>
                <w:szCs w:val="21"/>
                <w:highlight w:val="none"/>
                <w:lang w:val="en-US" w:eastAsia="zh-CN"/>
              </w:rPr>
              <w:t>账</w:t>
            </w:r>
            <w:r>
              <w:rPr>
                <w:rFonts w:hint="eastAsia" w:ascii="宋体" w:hAnsi="宋体" w:cs="宋体"/>
                <w:color w:val="auto"/>
                <w:szCs w:val="21"/>
                <w:highlight w:val="none"/>
              </w:rPr>
              <w:t>号收取差额”的功能（即员工在饭堂消费时，饭堂信息系统从员工的</w:t>
            </w:r>
            <w:r>
              <w:rPr>
                <w:rFonts w:hint="eastAsia" w:ascii="宋体" w:hAnsi="宋体" w:cs="宋体"/>
                <w:color w:val="auto"/>
                <w:szCs w:val="21"/>
                <w:highlight w:val="none"/>
                <w:lang w:eastAsia="zh-CN"/>
              </w:rPr>
              <w:t>个人账号</w:t>
            </w:r>
            <w:r>
              <w:rPr>
                <w:rFonts w:hint="eastAsia" w:ascii="宋体" w:hAnsi="宋体" w:cs="宋体"/>
                <w:color w:val="auto"/>
                <w:szCs w:val="21"/>
                <w:highlight w:val="none"/>
              </w:rPr>
              <w:t>中收取的金额是减去医院补助后的金额），无需再另行统计并集中发放补助。</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应配合用餐补助规则的变化而调整。</w:t>
            </w:r>
          </w:p>
          <w:p w14:paraId="7FF6987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饭堂信息系统应具备移动刷卡系统或手机网上消费（绑定饭卡）功能，让无法到食堂现场就餐的员工在病房订餐也能享受到员工消费补助。APP可对全院员工进行科室分组，对特殊科室分组（ICU、手术室、产房、介入室、胃肠镜室等）的线上订餐自动减免配送费。</w:t>
            </w:r>
          </w:p>
          <w:p w14:paraId="35611B68">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饭堂信息系统应具备直接通过员工手机或</w:t>
            </w:r>
            <w:r>
              <w:rPr>
                <w:rFonts w:hint="eastAsia" w:ascii="宋体" w:hAnsi="宋体" w:cs="宋体"/>
                <w:color w:val="auto"/>
                <w:szCs w:val="21"/>
                <w:highlight w:val="none"/>
                <w:lang w:eastAsia="zh-CN"/>
              </w:rPr>
              <w:t>个人账号</w:t>
            </w:r>
            <w:r>
              <w:rPr>
                <w:rFonts w:hint="eastAsia" w:ascii="宋体" w:hAnsi="宋体" w:cs="宋体"/>
                <w:color w:val="auto"/>
                <w:szCs w:val="21"/>
                <w:highlight w:val="none"/>
              </w:rPr>
              <w:t>进行网上充值和无卡手机扫码消费等功能，应具有通过识别员工出示的手机代码直接扣费（员工在食堂一楼消费可享受对应的优惠折扣）</w:t>
            </w:r>
            <w:r>
              <w:rPr>
                <w:rFonts w:hint="eastAsia" w:ascii="宋体" w:hAnsi="宋体" w:cs="宋体"/>
                <w:color w:val="auto"/>
                <w:szCs w:val="21"/>
                <w:highlight w:val="none"/>
                <w:lang w:val="en-US" w:eastAsia="zh-CN"/>
              </w:rPr>
              <w:t>的功能</w:t>
            </w:r>
            <w:r>
              <w:rPr>
                <w:rFonts w:hint="eastAsia" w:ascii="宋体" w:hAnsi="宋体" w:cs="宋体"/>
                <w:color w:val="auto"/>
                <w:szCs w:val="21"/>
                <w:highlight w:val="none"/>
              </w:rPr>
              <w:t>。</w:t>
            </w:r>
          </w:p>
          <w:p w14:paraId="57A8EA95">
            <w:pPr>
              <w:spacing w:line="312" w:lineRule="auto"/>
              <w:ind w:firstLine="420" w:firstLineChars="200"/>
              <w:rPr>
                <w:rFonts w:ascii="宋体" w:hAnsi="宋体"/>
                <w:color w:val="auto"/>
                <w:szCs w:val="21"/>
                <w:highlight w:val="none"/>
              </w:rPr>
            </w:pP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中选服务商</w:t>
            </w:r>
            <w:r>
              <w:rPr>
                <w:rFonts w:hint="eastAsia" w:ascii="宋体" w:hAnsi="宋体"/>
                <w:color w:val="auto"/>
                <w:szCs w:val="21"/>
                <w:highlight w:val="none"/>
              </w:rPr>
              <w:t>提供不同类型的IC卡，享受医院补贴的IC卡应有区别。所有卡均由中标方提供，由</w:t>
            </w:r>
            <w:r>
              <w:rPr>
                <w:rFonts w:hint="eastAsia" w:ascii="宋体" w:hAnsi="宋体"/>
                <w:color w:val="auto"/>
                <w:szCs w:val="21"/>
                <w:highlight w:val="none"/>
                <w:lang w:eastAsia="zh-CN"/>
              </w:rPr>
              <w:t>业主方</w:t>
            </w:r>
            <w:r>
              <w:rPr>
                <w:rFonts w:hint="eastAsia" w:ascii="宋体" w:hAnsi="宋体"/>
                <w:color w:val="auto"/>
                <w:szCs w:val="21"/>
                <w:highlight w:val="none"/>
              </w:rPr>
              <w:t>录入信息、发放、补办、取消等。</w:t>
            </w:r>
          </w:p>
          <w:p w14:paraId="36278362">
            <w:pPr>
              <w:pStyle w:val="27"/>
              <w:numPr>
                <w:ilvl w:val="0"/>
                <w:numId w:val="0"/>
              </w:numPr>
              <w:ind w:left="0" w:leftChars="0" w:firstLine="0" w:firstLineChars="0"/>
              <w:rPr>
                <w:rFonts w:hint="eastAsia" w:ascii="宋体" w:hAnsi="宋体" w:eastAsia="宋体" w:cs="宋体"/>
                <w:color w:val="auto"/>
                <w:kern w:val="2"/>
                <w:sz w:val="21"/>
                <w:szCs w:val="21"/>
                <w:lang w:val="en-US" w:eastAsia="zh-CN" w:bidi="ar-SA"/>
              </w:rPr>
            </w:pPr>
            <w:r>
              <w:rPr>
                <w:rFonts w:hint="eastAsia" w:ascii="宋体" w:hAnsi="宋体" w:cs="宋体"/>
                <w:color w:val="auto"/>
                <w:szCs w:val="21"/>
                <w:highlight w:val="none"/>
                <w:lang w:val="en-US" w:eastAsia="zh-CN"/>
              </w:rPr>
              <w:t>注：完全满足以上要求并提供系统截图等作为证明材料，每缺少一项证明材料扣2分。</w:t>
            </w:r>
          </w:p>
        </w:tc>
      </w:tr>
      <w:tr w14:paraId="2E0B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50" w:type="dxa"/>
            <w:vMerge w:val="continue"/>
            <w:vAlign w:val="center"/>
          </w:tcPr>
          <w:p w14:paraId="549695AD">
            <w:pPr>
              <w:pStyle w:val="8"/>
              <w:spacing w:line="240" w:lineRule="auto"/>
              <w:ind w:left="0"/>
              <w:jc w:val="center"/>
              <w:rPr>
                <w:rFonts w:hint="eastAsia" w:ascii="宋体" w:hAnsi="宋体" w:eastAsia="宋体" w:cs="宋体"/>
                <w:b/>
                <w:bCs/>
                <w:color w:val="auto"/>
                <w:sz w:val="21"/>
                <w:szCs w:val="21"/>
              </w:rPr>
            </w:pPr>
          </w:p>
        </w:tc>
        <w:tc>
          <w:tcPr>
            <w:tcW w:w="1757" w:type="dxa"/>
            <w:shd w:val="clear" w:color="auto" w:fill="auto"/>
            <w:vAlign w:val="center"/>
          </w:tcPr>
          <w:p w14:paraId="5E1D28A6">
            <w:pPr>
              <w:jc w:val="center"/>
              <w:rPr>
                <w:rFonts w:hint="eastAsia" w:ascii="宋体" w:hAnsi="宋体" w:eastAsia="宋体" w:cs="宋体"/>
                <w:color w:val="auto"/>
                <w:kern w:val="2"/>
                <w:sz w:val="21"/>
                <w:szCs w:val="21"/>
                <w:lang w:val="en-US" w:eastAsia="zh-CN" w:bidi="ar-SA"/>
              </w:rPr>
            </w:pPr>
            <w:r>
              <w:rPr>
                <w:rFonts w:hint="eastAsia"/>
                <w:color w:val="auto"/>
                <w:szCs w:val="21"/>
                <w:highlight w:val="none"/>
              </w:rPr>
              <w:t>食品原料质量检测</w:t>
            </w:r>
          </w:p>
        </w:tc>
        <w:tc>
          <w:tcPr>
            <w:tcW w:w="915" w:type="dxa"/>
            <w:shd w:val="clear" w:color="auto" w:fill="auto"/>
            <w:vAlign w:val="center"/>
          </w:tcPr>
          <w:p w14:paraId="286656DF">
            <w:pPr>
              <w:pStyle w:val="5"/>
              <w:ind w:firstLine="105" w:firstLineChars="5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highlight w:val="none"/>
                <w:lang w:val="en-US" w:eastAsia="zh-CN"/>
              </w:rPr>
              <w:t>11</w:t>
            </w:r>
          </w:p>
        </w:tc>
        <w:tc>
          <w:tcPr>
            <w:tcW w:w="5977" w:type="dxa"/>
            <w:gridSpan w:val="2"/>
            <w:shd w:val="clear" w:color="auto" w:fill="auto"/>
            <w:vAlign w:val="top"/>
          </w:tcPr>
          <w:p w14:paraId="7C8E8F12">
            <w:pPr>
              <w:widowControl/>
              <w:numPr>
                <w:ilvl w:val="0"/>
                <w:numId w:val="5"/>
              </w:numPr>
              <w:jc w:val="left"/>
              <w:textAlignment w:val="center"/>
              <w:rPr>
                <w:rStyle w:val="36"/>
                <w:rFonts w:hint="default"/>
                <w:color w:val="auto"/>
                <w:highlight w:val="none"/>
                <w:lang w:bidi="ar"/>
              </w:rPr>
            </w:pPr>
            <w:r>
              <w:rPr>
                <w:rStyle w:val="36"/>
                <w:rFonts w:hint="default"/>
                <w:color w:val="auto"/>
                <w:highlight w:val="none"/>
                <w:lang w:bidi="ar"/>
              </w:rPr>
              <w:t>提供投标截止日前</w:t>
            </w:r>
            <w:r>
              <w:rPr>
                <w:rStyle w:val="36"/>
                <w:rFonts w:hint="eastAsia"/>
                <w:color w:val="auto"/>
                <w:highlight w:val="none"/>
                <w:lang w:val="en-US" w:eastAsia="zh-CN" w:bidi="ar"/>
              </w:rPr>
              <w:t>6个月内任意三个月响应服务商委托</w:t>
            </w:r>
            <w:r>
              <w:rPr>
                <w:rStyle w:val="36"/>
                <w:rFonts w:hint="default"/>
                <w:color w:val="auto"/>
                <w:highlight w:val="none"/>
                <w:lang w:bidi="ar"/>
              </w:rPr>
              <w:t>第三方检测</w:t>
            </w:r>
            <w:r>
              <w:rPr>
                <w:rStyle w:val="36"/>
                <w:rFonts w:hint="eastAsia"/>
                <w:color w:val="auto"/>
                <w:highlight w:val="none"/>
                <w:lang w:val="en-US" w:eastAsia="zh-CN" w:bidi="ar"/>
              </w:rPr>
              <w:t>公司出具的检测报告</w:t>
            </w:r>
            <w:r>
              <w:rPr>
                <w:rStyle w:val="36"/>
                <w:rFonts w:hint="default"/>
                <w:color w:val="auto"/>
                <w:highlight w:val="none"/>
                <w:lang w:bidi="ar"/>
              </w:rPr>
              <w:t>，</w:t>
            </w:r>
            <w:r>
              <w:rPr>
                <w:rFonts w:hint="eastAsia" w:ascii="宋体" w:hAnsi="宋体"/>
                <w:color w:val="auto"/>
                <w:szCs w:val="21"/>
                <w:highlight w:val="none"/>
              </w:rPr>
              <w:t>八大原材料</w:t>
            </w:r>
            <w:r>
              <w:rPr>
                <w:rStyle w:val="36"/>
                <w:rFonts w:hint="default"/>
                <w:color w:val="auto"/>
                <w:highlight w:val="none"/>
                <w:lang w:bidi="ar"/>
              </w:rPr>
              <w:t>蔬菜类、水产类、大米、蛋类、水果类、</w:t>
            </w:r>
            <w:r>
              <w:rPr>
                <w:rFonts w:hint="eastAsia"/>
                <w:color w:val="auto"/>
                <w:szCs w:val="21"/>
                <w:highlight w:val="none"/>
              </w:rPr>
              <w:t>食用油类、家禽类、猪肉，</w:t>
            </w:r>
            <w:r>
              <w:rPr>
                <w:rStyle w:val="36"/>
                <w:rFonts w:hint="default"/>
                <w:color w:val="auto"/>
                <w:highlight w:val="none"/>
                <w:lang w:bidi="ar"/>
              </w:rPr>
              <w:t>每提供1类检测报告得1分，满分8分。</w:t>
            </w:r>
          </w:p>
          <w:p w14:paraId="1F5F3B86">
            <w:pPr>
              <w:widowControl/>
              <w:numPr>
                <w:ilvl w:val="0"/>
                <w:numId w:val="5"/>
              </w:numPr>
              <w:jc w:val="left"/>
              <w:textAlignment w:val="center"/>
              <w:rPr>
                <w:rStyle w:val="36"/>
                <w:rFonts w:hint="default"/>
                <w:color w:val="auto"/>
                <w:highlight w:val="none"/>
                <w:lang w:bidi="ar"/>
              </w:rPr>
            </w:pPr>
            <w:r>
              <w:rPr>
                <w:rStyle w:val="36"/>
                <w:rFonts w:hint="default"/>
                <w:color w:val="auto"/>
                <w:highlight w:val="none"/>
                <w:lang w:bidi="ar"/>
              </w:rPr>
              <w:t>提供投标截止日前</w:t>
            </w:r>
            <w:r>
              <w:rPr>
                <w:rStyle w:val="36"/>
                <w:rFonts w:hint="eastAsia"/>
                <w:color w:val="auto"/>
                <w:highlight w:val="none"/>
                <w:lang w:val="en-US" w:eastAsia="zh-CN" w:bidi="ar"/>
              </w:rPr>
              <w:t>6个月内任意一个月响应服务商委托</w:t>
            </w:r>
            <w:r>
              <w:rPr>
                <w:rStyle w:val="36"/>
                <w:rFonts w:hint="default"/>
                <w:color w:val="auto"/>
                <w:highlight w:val="none"/>
                <w:lang w:bidi="ar"/>
              </w:rPr>
              <w:t>第三方检测</w:t>
            </w:r>
            <w:r>
              <w:rPr>
                <w:rStyle w:val="36"/>
                <w:rFonts w:hint="eastAsia"/>
                <w:color w:val="auto"/>
                <w:highlight w:val="none"/>
                <w:lang w:val="en-US" w:eastAsia="zh-CN" w:bidi="ar"/>
              </w:rPr>
              <w:t>公司出具的熟食检测报告</w:t>
            </w:r>
            <w:r>
              <w:rPr>
                <w:rStyle w:val="36"/>
                <w:rFonts w:hint="eastAsia"/>
                <w:color w:val="auto"/>
                <w:highlight w:val="none"/>
                <w:lang w:eastAsia="zh-CN" w:bidi="ar"/>
              </w:rPr>
              <w:t>，</w:t>
            </w:r>
            <w:r>
              <w:rPr>
                <w:color w:val="auto"/>
                <w:highlight w:val="none"/>
              </w:rPr>
              <w:t>检测内容包括但不限于：菌落总数、沙门氏菌、金黄色葡萄球菌、大肠埃希氏菌O157：H7/NM、单核细胞增生李斯特氏菌、大肠埃希氏菌</w:t>
            </w:r>
            <w:r>
              <w:rPr>
                <w:rFonts w:hint="eastAsia"/>
                <w:color w:val="auto"/>
                <w:highlight w:val="none"/>
                <w:lang w:eastAsia="zh-CN"/>
              </w:rPr>
              <w:t>，</w:t>
            </w:r>
            <w:r>
              <w:rPr>
                <w:rFonts w:hint="eastAsia"/>
                <w:color w:val="auto"/>
                <w:highlight w:val="none"/>
                <w:lang w:val="en-US" w:eastAsia="zh-CN"/>
              </w:rPr>
              <w:t>每提供一份不同菜品得1分，满分3分</w:t>
            </w:r>
            <w:r>
              <w:rPr>
                <w:rFonts w:hint="eastAsia"/>
                <w:color w:val="auto"/>
                <w:highlight w:val="none"/>
                <w:lang w:eastAsia="zh-CN"/>
              </w:rPr>
              <w:t>。</w:t>
            </w:r>
          </w:p>
          <w:p w14:paraId="67277D2D">
            <w:pPr>
              <w:jc w:val="left"/>
              <w:rPr>
                <w:rFonts w:hint="eastAsia" w:ascii="宋体" w:hAnsi="宋体" w:eastAsia="宋体" w:cs="宋体"/>
                <w:color w:val="auto"/>
                <w:kern w:val="2"/>
                <w:sz w:val="21"/>
                <w:szCs w:val="21"/>
                <w:lang w:val="en-US" w:eastAsia="zh-CN" w:bidi="ar-SA"/>
              </w:rPr>
            </w:pPr>
            <w:r>
              <w:rPr>
                <w:rStyle w:val="36"/>
                <w:rFonts w:hint="default"/>
                <w:color w:val="auto"/>
                <w:highlight w:val="none"/>
                <w:lang w:bidi="ar"/>
              </w:rPr>
              <w:t>注：检测报告委托单位或送检单位须为</w:t>
            </w:r>
            <w:r>
              <w:rPr>
                <w:rStyle w:val="36"/>
                <w:rFonts w:hint="eastAsia"/>
                <w:color w:val="auto"/>
                <w:highlight w:val="none"/>
                <w:lang w:eastAsia="zh-CN" w:bidi="ar"/>
              </w:rPr>
              <w:t>响应服务商</w:t>
            </w:r>
            <w:r>
              <w:rPr>
                <w:rStyle w:val="36"/>
                <w:rFonts w:hint="default"/>
                <w:color w:val="auto"/>
                <w:highlight w:val="none"/>
                <w:lang w:bidi="ar"/>
              </w:rPr>
              <w:t>；需提供带有CMA和CNAS标志的第三方检测报告；检测报告应在全国认证认可信息公共服务平台（http://cx.cnca.cn/）上可进行查询，并提供查询截图，且检测报告编号与网站查询截图报告编号需一致；每份检测报告检测结果均为合格或阴性或符合，检测内容任意一项不合格的不得分。</w:t>
            </w:r>
            <w:bookmarkStart w:id="32" w:name="_GoBack"/>
            <w:bookmarkEnd w:id="32"/>
          </w:p>
        </w:tc>
      </w:tr>
      <w:tr w14:paraId="2FF2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750" w:type="dxa"/>
            <w:vMerge w:val="restart"/>
            <w:vAlign w:val="center"/>
          </w:tcPr>
          <w:p w14:paraId="22E75472">
            <w:pPr>
              <w:pStyle w:val="8"/>
              <w:spacing w:line="240" w:lineRule="auto"/>
              <w:ind w:lef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商务评审</w:t>
            </w:r>
          </w:p>
        </w:tc>
        <w:tc>
          <w:tcPr>
            <w:tcW w:w="1757" w:type="dxa"/>
            <w:shd w:val="clear" w:color="auto" w:fill="auto"/>
            <w:vAlign w:val="center"/>
          </w:tcPr>
          <w:p w14:paraId="53B7F16A">
            <w:pPr>
              <w:jc w:val="center"/>
              <w:rPr>
                <w:rFonts w:hint="eastAsia" w:ascii="宋体" w:hAnsi="宋体" w:eastAsia="宋体" w:cs="宋体"/>
                <w:color w:val="auto"/>
                <w:kern w:val="2"/>
                <w:sz w:val="21"/>
                <w:szCs w:val="21"/>
                <w:shd w:val="clear" w:color="auto" w:fill="FFFFFF"/>
                <w:lang w:val="en-US" w:eastAsia="zh-CN" w:bidi="ar-SA"/>
              </w:rPr>
            </w:pPr>
            <w:r>
              <w:rPr>
                <w:rFonts w:hint="eastAsia" w:ascii="宋体" w:hAnsi="宋体"/>
                <w:color w:val="auto"/>
                <w:szCs w:val="21"/>
                <w:highlight w:val="none"/>
              </w:rPr>
              <w:t>食品安全追溯能力</w:t>
            </w:r>
          </w:p>
        </w:tc>
        <w:tc>
          <w:tcPr>
            <w:tcW w:w="915" w:type="dxa"/>
            <w:shd w:val="clear" w:color="auto" w:fill="auto"/>
            <w:vAlign w:val="center"/>
          </w:tcPr>
          <w:p w14:paraId="183EB0D3">
            <w:pPr>
              <w:pStyle w:val="5"/>
              <w:ind w:firstLine="105" w:firstLineChars="50"/>
              <w:jc w:val="center"/>
              <w:rPr>
                <w:rFonts w:hint="default" w:ascii="宋体" w:hAnsi="宋体" w:eastAsia="宋体" w:cs="宋体"/>
                <w:color w:val="auto"/>
                <w:kern w:val="2"/>
                <w:sz w:val="21"/>
                <w:szCs w:val="21"/>
                <w:shd w:val="clear" w:color="auto" w:fill="FFFFFF"/>
                <w:lang w:val="en-US" w:eastAsia="zh-CN" w:bidi="ar-SA"/>
              </w:rPr>
            </w:pPr>
            <w:r>
              <w:rPr>
                <w:rFonts w:hint="eastAsia" w:ascii="宋体" w:hAnsi="宋体"/>
                <w:color w:val="auto"/>
                <w:szCs w:val="21"/>
                <w:highlight w:val="none"/>
                <w:lang w:val="en-US" w:eastAsia="zh-CN"/>
              </w:rPr>
              <w:t>2</w:t>
            </w:r>
          </w:p>
        </w:tc>
        <w:tc>
          <w:tcPr>
            <w:tcW w:w="5977" w:type="dxa"/>
            <w:gridSpan w:val="2"/>
            <w:shd w:val="clear" w:color="auto" w:fill="auto"/>
            <w:vAlign w:val="center"/>
          </w:tcPr>
          <w:p w14:paraId="0CB72457">
            <w:pPr>
              <w:widowControl/>
              <w:numPr>
                <w:ilvl w:val="0"/>
                <w:numId w:val="0"/>
              </w:numPr>
              <w:ind w:left="0" w:leftChars="0" w:firstLine="0" w:firstLineChars="0"/>
              <w:jc w:val="left"/>
              <w:textAlignment w:val="center"/>
              <w:rPr>
                <w:rFonts w:hint="eastAsia" w:ascii="宋体" w:hAnsi="宋体" w:eastAsia="宋体" w:cs="宋体"/>
                <w:color w:val="auto"/>
                <w:kern w:val="2"/>
                <w:sz w:val="21"/>
                <w:szCs w:val="21"/>
                <w:lang w:val="en-US" w:eastAsia="zh-CN" w:bidi="ar-SA"/>
              </w:rPr>
            </w:pPr>
            <w:r>
              <w:rPr>
                <w:rFonts w:hint="eastAsia" w:ascii="宋体" w:hAnsi="宋体"/>
                <w:color w:val="auto"/>
                <w:szCs w:val="21"/>
                <w:highlight w:val="none"/>
                <w:lang w:eastAsia="zh-CN"/>
              </w:rPr>
              <w:t>响应服务商</w:t>
            </w:r>
            <w:r>
              <w:rPr>
                <w:rFonts w:hint="eastAsia" w:ascii="宋体" w:hAnsi="宋体"/>
                <w:color w:val="auto"/>
                <w:szCs w:val="21"/>
                <w:highlight w:val="none"/>
              </w:rPr>
              <w:t>自有食品质量安全追溯系统，提供系统截图证明及</w:t>
            </w:r>
            <w:r>
              <w:rPr>
                <w:rFonts w:hint="eastAsia" w:ascii="宋体" w:hAnsi="宋体"/>
                <w:color w:val="auto"/>
                <w:szCs w:val="21"/>
                <w:highlight w:val="none"/>
                <w:lang w:val="en-US" w:eastAsia="zh-CN"/>
              </w:rPr>
              <w:t>响应服务商名下的</w:t>
            </w:r>
            <w:r>
              <w:rPr>
                <w:rFonts w:hint="eastAsia" w:ascii="宋体" w:hAnsi="宋体"/>
                <w:color w:val="auto"/>
                <w:szCs w:val="21"/>
                <w:highlight w:val="none"/>
              </w:rPr>
              <w:t>软件著作权证明，得</w:t>
            </w:r>
            <w:r>
              <w:rPr>
                <w:rFonts w:hint="eastAsia" w:ascii="宋体" w:hAnsi="宋体"/>
                <w:color w:val="auto"/>
                <w:szCs w:val="21"/>
                <w:highlight w:val="none"/>
                <w:lang w:val="en-US" w:eastAsia="zh-CN"/>
              </w:rPr>
              <w:t>2</w:t>
            </w:r>
            <w:r>
              <w:rPr>
                <w:rFonts w:hint="eastAsia" w:ascii="宋体" w:hAnsi="宋体"/>
                <w:color w:val="auto"/>
                <w:szCs w:val="21"/>
                <w:highlight w:val="none"/>
              </w:rPr>
              <w:t>分，</w:t>
            </w:r>
            <w:r>
              <w:rPr>
                <w:rFonts w:hint="eastAsia" w:ascii="宋体" w:hAnsi="宋体"/>
                <w:color w:val="auto"/>
                <w:szCs w:val="21"/>
                <w:highlight w:val="none"/>
                <w:lang w:eastAsia="zh-CN"/>
              </w:rPr>
              <w:t>响应服务商</w:t>
            </w:r>
            <w:r>
              <w:rPr>
                <w:rFonts w:hint="eastAsia" w:ascii="宋体" w:hAnsi="宋体"/>
                <w:color w:val="auto"/>
                <w:szCs w:val="21"/>
                <w:highlight w:val="none"/>
              </w:rPr>
              <w:t>使用购买或租赁的食品质量安全追溯系统的提供购买或租赁合同、购买或租赁发票、系统截图证明，得</w:t>
            </w:r>
            <w:r>
              <w:rPr>
                <w:rFonts w:hint="eastAsia" w:ascii="宋体" w:hAnsi="宋体"/>
                <w:color w:val="auto"/>
                <w:szCs w:val="21"/>
                <w:highlight w:val="none"/>
                <w:lang w:val="en-US" w:eastAsia="zh-CN"/>
              </w:rPr>
              <w:t>1</w:t>
            </w:r>
            <w:r>
              <w:rPr>
                <w:rFonts w:hint="eastAsia" w:ascii="宋体" w:hAnsi="宋体"/>
                <w:color w:val="auto"/>
                <w:szCs w:val="21"/>
                <w:highlight w:val="none"/>
              </w:rPr>
              <w:t>分，无食品安全追溯系统的不得分</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本小项满分2分。</w:t>
            </w:r>
          </w:p>
        </w:tc>
      </w:tr>
      <w:tr w14:paraId="7A27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6" w:hRule="atLeast"/>
        </w:trPr>
        <w:tc>
          <w:tcPr>
            <w:tcW w:w="750" w:type="dxa"/>
            <w:vMerge w:val="continue"/>
            <w:vAlign w:val="center"/>
          </w:tcPr>
          <w:p w14:paraId="4BD36DCE">
            <w:pPr>
              <w:pStyle w:val="8"/>
              <w:spacing w:line="240" w:lineRule="auto"/>
              <w:ind w:left="0"/>
              <w:jc w:val="center"/>
              <w:rPr>
                <w:rFonts w:hint="eastAsia" w:ascii="宋体" w:hAnsi="宋体" w:eastAsia="宋体" w:cs="宋体"/>
                <w:b/>
                <w:bCs/>
                <w:color w:val="auto"/>
                <w:sz w:val="21"/>
                <w:szCs w:val="21"/>
              </w:rPr>
            </w:pPr>
          </w:p>
        </w:tc>
        <w:tc>
          <w:tcPr>
            <w:tcW w:w="1757" w:type="dxa"/>
            <w:vAlign w:val="center"/>
          </w:tcPr>
          <w:p w14:paraId="773C60C2">
            <w:pPr>
              <w:tabs>
                <w:tab w:val="left" w:pos="840"/>
              </w:tabs>
              <w:jc w:val="center"/>
              <w:rPr>
                <w:rFonts w:hint="eastAsia" w:ascii="宋体" w:hAnsi="宋体" w:eastAsia="宋体" w:cs="宋体"/>
                <w:color w:val="auto"/>
                <w:sz w:val="21"/>
                <w:szCs w:val="21"/>
              </w:rPr>
            </w:pPr>
            <w:r>
              <w:rPr>
                <w:rFonts w:hint="eastAsia" w:ascii="宋体" w:hAnsi="宋体"/>
                <w:color w:val="auto"/>
                <w:szCs w:val="21"/>
                <w:highlight w:val="none"/>
              </w:rPr>
              <w:t>体系认证情况</w:t>
            </w:r>
          </w:p>
        </w:tc>
        <w:tc>
          <w:tcPr>
            <w:tcW w:w="915" w:type="dxa"/>
            <w:vAlign w:val="center"/>
          </w:tcPr>
          <w:p w14:paraId="58FF1B78">
            <w:pPr>
              <w:tabs>
                <w:tab w:val="left" w:pos="840"/>
              </w:tabs>
              <w:jc w:val="center"/>
              <w:rPr>
                <w:rFonts w:hint="eastAsia" w:ascii="宋体" w:hAnsi="宋体" w:eastAsia="宋体" w:cs="宋体"/>
                <w:color w:val="auto"/>
                <w:sz w:val="21"/>
                <w:szCs w:val="21"/>
                <w:shd w:val="clear" w:color="auto" w:fill="FFFFFF"/>
                <w:lang w:val="en-US" w:eastAsia="zh-CN"/>
              </w:rPr>
            </w:pPr>
            <w:r>
              <w:rPr>
                <w:rFonts w:hint="eastAsia" w:ascii="宋体" w:hAnsi="宋体"/>
                <w:color w:val="auto"/>
                <w:szCs w:val="21"/>
                <w:highlight w:val="none"/>
                <w:lang w:val="en-US" w:eastAsia="zh-CN"/>
              </w:rPr>
              <w:t>4</w:t>
            </w:r>
          </w:p>
        </w:tc>
        <w:tc>
          <w:tcPr>
            <w:tcW w:w="5977" w:type="dxa"/>
            <w:gridSpan w:val="2"/>
            <w:vAlign w:val="center"/>
          </w:tcPr>
          <w:p w14:paraId="12EDE365">
            <w:pPr>
              <w:numPr>
                <w:ilvl w:val="0"/>
                <w:numId w:val="6"/>
              </w:numPr>
              <w:rPr>
                <w:rFonts w:hint="eastAsia" w:ascii="宋体" w:hAnsi="宋体"/>
                <w:color w:val="auto"/>
                <w:szCs w:val="21"/>
                <w:highlight w:val="none"/>
              </w:rPr>
            </w:pPr>
            <w:r>
              <w:rPr>
                <w:rFonts w:hint="eastAsia" w:ascii="宋体" w:hAnsi="宋体"/>
                <w:color w:val="auto"/>
                <w:szCs w:val="21"/>
                <w:highlight w:val="none"/>
                <w:lang w:eastAsia="zh-CN"/>
              </w:rPr>
              <w:t>响应服务商</w:t>
            </w:r>
            <w:r>
              <w:rPr>
                <w:rFonts w:hint="eastAsia" w:ascii="宋体" w:hAnsi="宋体"/>
                <w:color w:val="auto"/>
                <w:szCs w:val="21"/>
                <w:highlight w:val="none"/>
                <w:lang w:val="en-US" w:eastAsia="zh-CN"/>
              </w:rPr>
              <w:t>符合GB/T 19001-2016/1S0 9001:2015的要求，并取得</w:t>
            </w:r>
            <w:r>
              <w:rPr>
                <w:rFonts w:hint="eastAsia" w:ascii="宋体" w:hAnsi="宋体"/>
                <w:color w:val="auto"/>
                <w:szCs w:val="21"/>
                <w:highlight w:val="none"/>
              </w:rPr>
              <w:t>有效的质量管理体系认证</w:t>
            </w:r>
            <w:r>
              <w:rPr>
                <w:rFonts w:hint="eastAsia" w:ascii="宋体" w:hAnsi="宋体"/>
                <w:color w:val="auto"/>
                <w:szCs w:val="21"/>
                <w:highlight w:val="none"/>
                <w:lang w:val="en-US" w:eastAsia="zh-CN"/>
              </w:rPr>
              <w:t>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提供得0.5分</w:t>
            </w:r>
            <w:r>
              <w:rPr>
                <w:rFonts w:hint="eastAsia" w:ascii="宋体" w:hAnsi="宋体"/>
                <w:color w:val="auto"/>
                <w:szCs w:val="21"/>
                <w:highlight w:val="none"/>
                <w:lang w:eastAsia="zh-CN"/>
              </w:rPr>
              <w:t>。</w:t>
            </w:r>
          </w:p>
          <w:p w14:paraId="487B51E0">
            <w:pPr>
              <w:numPr>
                <w:ilvl w:val="0"/>
                <w:numId w:val="6"/>
              </w:numPr>
              <w:rPr>
                <w:rFonts w:hint="eastAsia" w:ascii="宋体" w:hAnsi="宋体"/>
                <w:color w:val="auto"/>
                <w:szCs w:val="21"/>
                <w:highlight w:val="none"/>
              </w:rPr>
            </w:pPr>
            <w:r>
              <w:rPr>
                <w:rFonts w:hint="eastAsia" w:ascii="宋体" w:hAnsi="宋体"/>
                <w:color w:val="auto"/>
                <w:szCs w:val="21"/>
                <w:highlight w:val="none"/>
                <w:lang w:val="en-US" w:eastAsia="zh-CN"/>
              </w:rPr>
              <w:t>响应服务商符合</w:t>
            </w:r>
            <w:r>
              <w:rPr>
                <w:rFonts w:hint="eastAsia" w:ascii="宋体" w:hAnsi="宋体"/>
                <w:color w:val="auto"/>
                <w:szCs w:val="21"/>
                <w:highlight w:val="none"/>
              </w:rPr>
              <w:t>GB/T45001-2020/IS045001:2018</w:t>
            </w:r>
            <w:r>
              <w:rPr>
                <w:rFonts w:hint="eastAsia" w:ascii="宋体" w:hAnsi="宋体"/>
                <w:color w:val="auto"/>
                <w:szCs w:val="21"/>
                <w:highlight w:val="none"/>
                <w:lang w:val="en-US" w:eastAsia="zh-CN"/>
              </w:rPr>
              <w:t>的要求，并取得有效的</w:t>
            </w:r>
            <w:r>
              <w:rPr>
                <w:rFonts w:hint="eastAsia" w:ascii="宋体" w:hAnsi="宋体"/>
                <w:color w:val="auto"/>
                <w:szCs w:val="21"/>
                <w:highlight w:val="none"/>
              </w:rPr>
              <w:t>职业健康安全管理体系</w:t>
            </w:r>
            <w:r>
              <w:rPr>
                <w:rFonts w:hint="eastAsia" w:ascii="宋体" w:hAnsi="宋体"/>
                <w:color w:val="auto"/>
                <w:szCs w:val="21"/>
                <w:highlight w:val="none"/>
                <w:lang w:val="en-US" w:eastAsia="zh-CN"/>
              </w:rPr>
              <w:t>认证证书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提供得0.5分</w:t>
            </w:r>
            <w:r>
              <w:rPr>
                <w:rFonts w:hint="eastAsia" w:ascii="宋体" w:hAnsi="宋体"/>
                <w:color w:val="auto"/>
                <w:szCs w:val="21"/>
                <w:highlight w:val="none"/>
                <w:lang w:eastAsia="zh-CN"/>
              </w:rPr>
              <w:t>。</w:t>
            </w:r>
          </w:p>
          <w:p w14:paraId="2A7A9964">
            <w:pPr>
              <w:numPr>
                <w:ilvl w:val="0"/>
                <w:numId w:val="6"/>
              </w:numPr>
              <w:rPr>
                <w:rFonts w:hint="eastAsia" w:ascii="宋体" w:hAnsi="宋体"/>
                <w:color w:val="auto"/>
                <w:szCs w:val="21"/>
                <w:highlight w:val="none"/>
              </w:rPr>
            </w:pPr>
            <w:r>
              <w:rPr>
                <w:rFonts w:hint="eastAsia" w:ascii="宋体" w:hAnsi="宋体"/>
                <w:color w:val="auto"/>
                <w:szCs w:val="21"/>
                <w:highlight w:val="none"/>
                <w:lang w:val="en-US" w:eastAsia="zh-CN"/>
              </w:rPr>
              <w:t>响应服务商符合GB/TT24001-2016/ISO4001:2015的要求，并取得环境管理体系认证证书，提供得0.5分。</w:t>
            </w:r>
          </w:p>
          <w:p w14:paraId="0FF64F54">
            <w:pPr>
              <w:numPr>
                <w:ilvl w:val="0"/>
                <w:numId w:val="6"/>
              </w:numPr>
              <w:rPr>
                <w:rFonts w:hint="eastAsia" w:ascii="宋体" w:hAnsi="宋体"/>
                <w:color w:val="auto"/>
                <w:szCs w:val="21"/>
                <w:highlight w:val="none"/>
              </w:rPr>
            </w:pPr>
            <w:r>
              <w:rPr>
                <w:rFonts w:hint="eastAsia" w:ascii="宋体" w:hAnsi="宋体"/>
                <w:color w:val="auto"/>
                <w:szCs w:val="21"/>
                <w:highlight w:val="none"/>
                <w:lang w:val="en-US" w:eastAsia="zh-CN"/>
              </w:rPr>
              <w:t>响应服务商符合</w:t>
            </w:r>
            <w:r>
              <w:rPr>
                <w:rFonts w:hint="eastAsia" w:ascii="宋体" w:hAnsi="宋体"/>
                <w:color w:val="auto"/>
                <w:szCs w:val="21"/>
                <w:highlight w:val="none"/>
              </w:rPr>
              <w:t>IS0 22000:2018</w:t>
            </w:r>
            <w:r>
              <w:rPr>
                <w:rFonts w:hint="eastAsia" w:ascii="宋体" w:hAnsi="宋体"/>
                <w:color w:val="auto"/>
                <w:szCs w:val="21"/>
                <w:highlight w:val="none"/>
                <w:lang w:val="en-US" w:eastAsia="zh-CN"/>
              </w:rPr>
              <w:t>的要求，并取得有效的</w:t>
            </w:r>
            <w:r>
              <w:rPr>
                <w:rFonts w:hint="eastAsia" w:ascii="宋体" w:hAnsi="宋体"/>
                <w:color w:val="auto"/>
                <w:szCs w:val="21"/>
                <w:highlight w:val="none"/>
              </w:rPr>
              <w:t>食品安全管理体系认证证书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提供得0.5分</w:t>
            </w:r>
            <w:r>
              <w:rPr>
                <w:rFonts w:hint="eastAsia" w:ascii="宋体" w:hAnsi="宋体"/>
                <w:color w:val="auto"/>
                <w:szCs w:val="21"/>
                <w:highlight w:val="none"/>
                <w:lang w:eastAsia="zh-CN"/>
              </w:rPr>
              <w:t>。</w:t>
            </w:r>
          </w:p>
          <w:p w14:paraId="46490DD8">
            <w:pPr>
              <w:numPr>
                <w:ilvl w:val="0"/>
                <w:numId w:val="6"/>
              </w:numPr>
              <w:rPr>
                <w:rFonts w:hint="eastAsia" w:ascii="宋体" w:hAnsi="宋体"/>
                <w:color w:val="auto"/>
                <w:szCs w:val="21"/>
                <w:highlight w:val="none"/>
              </w:rPr>
            </w:pPr>
            <w:r>
              <w:rPr>
                <w:rFonts w:hint="eastAsia" w:ascii="宋体" w:hAnsi="宋体"/>
                <w:color w:val="auto"/>
                <w:szCs w:val="21"/>
                <w:highlight w:val="none"/>
                <w:lang w:val="en-US" w:eastAsia="zh-CN"/>
              </w:rPr>
              <w:t>响应服务商符合《危害分析与关键控制点(HACCP)体系认证要求(V1.0)》的要求，并取得有效的</w:t>
            </w:r>
            <w:r>
              <w:rPr>
                <w:rFonts w:hint="eastAsia" w:ascii="宋体" w:hAnsi="宋体"/>
                <w:color w:val="auto"/>
                <w:szCs w:val="21"/>
                <w:highlight w:val="none"/>
              </w:rPr>
              <w:t>危害分析与关键控制点体系（HACCP）认证证书</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提供得0.5分</w:t>
            </w:r>
            <w:r>
              <w:rPr>
                <w:rFonts w:hint="eastAsia" w:ascii="宋体" w:hAnsi="宋体"/>
                <w:color w:val="auto"/>
                <w:szCs w:val="21"/>
                <w:highlight w:val="none"/>
                <w:lang w:eastAsia="zh-CN"/>
              </w:rPr>
              <w:t>。</w:t>
            </w:r>
          </w:p>
          <w:p w14:paraId="71AF6F8D">
            <w:pPr>
              <w:numPr>
                <w:ilvl w:val="0"/>
                <w:numId w:val="6"/>
              </w:numPr>
              <w:rPr>
                <w:rFonts w:hint="eastAsia" w:ascii="宋体" w:hAnsi="宋体"/>
                <w:color w:val="auto"/>
                <w:szCs w:val="21"/>
                <w:highlight w:val="none"/>
              </w:rPr>
            </w:pPr>
            <w:r>
              <w:rPr>
                <w:rFonts w:hint="eastAsia" w:ascii="宋体" w:hAnsi="宋体"/>
                <w:color w:val="auto"/>
                <w:szCs w:val="21"/>
                <w:highlight w:val="none"/>
                <w:lang w:val="en-US" w:eastAsia="zh-CN"/>
              </w:rPr>
              <w:t>响应服务商符合ISO 28000:2022的要求，并取得有效的供应链安全管理体系认证证书，提供得0.5分。</w:t>
            </w:r>
          </w:p>
          <w:p w14:paraId="5FA7C110">
            <w:pPr>
              <w:numPr>
                <w:ilvl w:val="0"/>
                <w:numId w:val="6"/>
              </w:numPr>
              <w:rPr>
                <w:rFonts w:hint="eastAsia" w:ascii="宋体" w:hAnsi="宋体"/>
                <w:color w:val="auto"/>
                <w:szCs w:val="21"/>
                <w:highlight w:val="none"/>
              </w:rPr>
            </w:pPr>
            <w:r>
              <w:rPr>
                <w:rFonts w:hint="eastAsia"/>
                <w:color w:val="auto"/>
                <w:highlight w:val="none"/>
                <w:lang w:val="en-US" w:eastAsia="zh-CN"/>
              </w:rPr>
              <w:t>响应服务商符合 SB/T 10580-2011或GB/T29590-2013、Q/GDZR 051-2022的要求，并取得有效的餐饮企业现场管理评价认证/企业现场管理评价认证证书，提供得1分。</w:t>
            </w:r>
          </w:p>
          <w:p w14:paraId="2AC58AAA">
            <w:pPr>
              <w:rPr>
                <w:rFonts w:hint="eastAsia" w:ascii="宋体" w:hAnsi="宋体"/>
                <w:color w:val="auto"/>
                <w:szCs w:val="21"/>
                <w:highlight w:val="none"/>
              </w:rPr>
            </w:pPr>
            <w:r>
              <w:rPr>
                <w:rFonts w:hint="eastAsia" w:ascii="宋体" w:hAnsi="宋体"/>
                <w:color w:val="auto"/>
                <w:szCs w:val="21"/>
                <w:highlight w:val="none"/>
              </w:rPr>
              <w:t>注：</w:t>
            </w:r>
            <w:r>
              <w:rPr>
                <w:rFonts w:hint="eastAsia" w:ascii="宋体" w:hAnsi="宋体"/>
                <w:color w:val="auto"/>
                <w:szCs w:val="21"/>
                <w:highlight w:val="none"/>
                <w:lang w:val="en-US" w:eastAsia="zh-CN"/>
              </w:rPr>
              <w:t>此项</w:t>
            </w:r>
            <w:r>
              <w:rPr>
                <w:rFonts w:hint="eastAsia" w:ascii="宋体" w:hAnsi="宋体"/>
                <w:color w:val="auto"/>
                <w:szCs w:val="21"/>
                <w:highlight w:val="none"/>
              </w:rPr>
              <w:t>满分为</w:t>
            </w:r>
            <w:r>
              <w:rPr>
                <w:rFonts w:hint="eastAsia" w:ascii="宋体" w:hAnsi="宋体"/>
                <w:color w:val="auto"/>
                <w:szCs w:val="21"/>
                <w:highlight w:val="none"/>
                <w:lang w:val="en-US" w:eastAsia="zh-CN"/>
              </w:rPr>
              <w:t>4</w:t>
            </w:r>
            <w:r>
              <w:rPr>
                <w:rFonts w:hint="eastAsia" w:ascii="宋体" w:hAnsi="宋体"/>
                <w:color w:val="auto"/>
                <w:szCs w:val="21"/>
                <w:highlight w:val="none"/>
              </w:rPr>
              <w:t>分。提供有效期内证书复印件和在全国认证认可信息公共服务平台（http://cx.cnca.cn/CertECloud/index/</w:t>
            </w:r>
          </w:p>
          <w:p w14:paraId="1292280B">
            <w:pPr>
              <w:jc w:val="left"/>
              <w:rPr>
                <w:rFonts w:hint="eastAsia" w:ascii="宋体" w:hAnsi="宋体" w:eastAsia="宋体" w:cs="宋体"/>
                <w:color w:val="auto"/>
                <w:sz w:val="21"/>
                <w:szCs w:val="21"/>
              </w:rPr>
            </w:pPr>
            <w:r>
              <w:rPr>
                <w:rFonts w:hint="eastAsia" w:ascii="宋体" w:hAnsi="宋体"/>
                <w:color w:val="auto"/>
                <w:szCs w:val="21"/>
                <w:highlight w:val="none"/>
              </w:rPr>
              <w:t>index/page）查询截图，证书必须处于“有效”状态。公开信息中无法查询或与公开信息不一致的，</w:t>
            </w:r>
            <w:r>
              <w:rPr>
                <w:rFonts w:hint="eastAsia" w:ascii="宋体" w:hAnsi="宋体"/>
                <w:color w:val="auto"/>
                <w:szCs w:val="21"/>
                <w:highlight w:val="none"/>
                <w:lang w:eastAsia="zh-CN"/>
              </w:rPr>
              <w:t>响应服务商</w:t>
            </w:r>
            <w:r>
              <w:rPr>
                <w:rFonts w:hint="eastAsia" w:ascii="宋体" w:hAnsi="宋体"/>
                <w:color w:val="auto"/>
                <w:szCs w:val="21"/>
                <w:highlight w:val="none"/>
              </w:rPr>
              <w:t>必须提供发证机构出具的证明函。）</w:t>
            </w:r>
          </w:p>
        </w:tc>
      </w:tr>
      <w:tr w14:paraId="7D36A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750" w:type="dxa"/>
            <w:vMerge w:val="continue"/>
            <w:vAlign w:val="center"/>
          </w:tcPr>
          <w:p w14:paraId="571FD8A0">
            <w:pPr>
              <w:pStyle w:val="8"/>
              <w:spacing w:line="240" w:lineRule="auto"/>
              <w:ind w:left="0"/>
              <w:jc w:val="center"/>
              <w:rPr>
                <w:rFonts w:hint="eastAsia" w:ascii="宋体" w:hAnsi="宋体" w:eastAsia="宋体" w:cs="宋体"/>
                <w:b/>
                <w:bCs/>
                <w:color w:val="auto"/>
                <w:sz w:val="21"/>
                <w:szCs w:val="21"/>
              </w:rPr>
            </w:pPr>
          </w:p>
        </w:tc>
        <w:tc>
          <w:tcPr>
            <w:tcW w:w="1757" w:type="dxa"/>
            <w:vAlign w:val="center"/>
          </w:tcPr>
          <w:p w14:paraId="57675F14">
            <w:pPr>
              <w:tabs>
                <w:tab w:val="left" w:pos="840"/>
              </w:tabs>
              <w:jc w:val="center"/>
              <w:rPr>
                <w:rFonts w:hint="default" w:ascii="宋体" w:hAnsi="宋体" w:eastAsia="宋体" w:cs="宋体"/>
                <w:color w:val="auto"/>
                <w:sz w:val="21"/>
                <w:szCs w:val="21"/>
                <w:lang w:val="en-US" w:eastAsia="zh-CN"/>
              </w:rPr>
            </w:pPr>
            <w:r>
              <w:rPr>
                <w:rFonts w:hint="eastAsia" w:ascii="宋体" w:hAnsi="宋体"/>
                <w:color w:val="auto"/>
                <w:szCs w:val="21"/>
                <w:highlight w:val="none"/>
                <w:lang w:eastAsia="zh-CN"/>
              </w:rPr>
              <w:t>响应服务商</w:t>
            </w:r>
            <w:r>
              <w:rPr>
                <w:rFonts w:hint="eastAsia" w:ascii="宋体" w:hAnsi="宋体"/>
                <w:color w:val="auto"/>
                <w:szCs w:val="21"/>
                <w:highlight w:val="none"/>
              </w:rPr>
              <w:t>拟投入团队人员</w:t>
            </w:r>
          </w:p>
        </w:tc>
        <w:tc>
          <w:tcPr>
            <w:tcW w:w="915" w:type="dxa"/>
            <w:vAlign w:val="center"/>
          </w:tcPr>
          <w:p w14:paraId="403DB130">
            <w:pPr>
              <w:tabs>
                <w:tab w:val="left" w:pos="840"/>
              </w:tabs>
              <w:jc w:val="center"/>
              <w:rPr>
                <w:rFonts w:hint="default" w:ascii="宋体" w:hAnsi="宋体" w:eastAsia="宋体" w:cs="宋体"/>
                <w:bCs/>
                <w:color w:val="auto"/>
                <w:sz w:val="21"/>
                <w:szCs w:val="21"/>
                <w:lang w:val="en-US" w:eastAsia="zh-CN"/>
              </w:rPr>
            </w:pPr>
            <w:r>
              <w:rPr>
                <w:rFonts w:hint="eastAsia" w:ascii="宋体" w:hAnsi="宋体"/>
                <w:color w:val="auto"/>
                <w:szCs w:val="21"/>
                <w:highlight w:val="none"/>
              </w:rPr>
              <w:t>1</w:t>
            </w:r>
            <w:r>
              <w:rPr>
                <w:rFonts w:hint="eastAsia" w:ascii="宋体" w:hAnsi="宋体"/>
                <w:color w:val="auto"/>
                <w:szCs w:val="21"/>
                <w:highlight w:val="none"/>
                <w:lang w:val="en-US" w:eastAsia="zh-CN"/>
              </w:rPr>
              <w:t>6</w:t>
            </w:r>
          </w:p>
        </w:tc>
        <w:tc>
          <w:tcPr>
            <w:tcW w:w="5977" w:type="dxa"/>
            <w:gridSpan w:val="2"/>
            <w:vAlign w:val="top"/>
          </w:tcPr>
          <w:p w14:paraId="4F927467">
            <w:pPr>
              <w:pStyle w:val="20"/>
              <w:spacing w:after="0"/>
              <w:ind w:left="0" w:leftChars="0"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lang w:eastAsia="zh-CN"/>
              </w:rPr>
              <w:t>响应服务商</w:t>
            </w:r>
            <w:r>
              <w:rPr>
                <w:rFonts w:hint="eastAsia" w:ascii="宋体" w:hAnsi="宋体" w:eastAsia="宋体"/>
                <w:color w:val="auto"/>
                <w:szCs w:val="21"/>
                <w:highlight w:val="none"/>
              </w:rPr>
              <w:t>拟投入团队人员中：</w:t>
            </w:r>
          </w:p>
          <w:p w14:paraId="30EFD6FB">
            <w:pPr>
              <w:pStyle w:val="20"/>
              <w:numPr>
                <w:ilvl w:val="0"/>
                <w:numId w:val="0"/>
              </w:numPr>
              <w:spacing w:after="0"/>
              <w:jc w:val="left"/>
              <w:rPr>
                <w:rFonts w:hint="eastAsia" w:ascii="宋体" w:hAnsi="宋体" w:eastAsia="宋体"/>
                <w:color w:val="auto"/>
                <w:szCs w:val="21"/>
                <w:highlight w:val="none"/>
              </w:rPr>
            </w:pP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项目</w:t>
            </w:r>
            <w:r>
              <w:rPr>
                <w:rFonts w:hint="eastAsia" w:ascii="宋体" w:hAnsi="宋体" w:eastAsia="宋体"/>
                <w:color w:val="auto"/>
                <w:szCs w:val="21"/>
                <w:highlight w:val="none"/>
                <w:lang w:val="en-US" w:eastAsia="zh-CN"/>
              </w:rPr>
              <w:t>总</w:t>
            </w:r>
            <w:r>
              <w:rPr>
                <w:rFonts w:hint="eastAsia" w:ascii="宋体" w:hAnsi="宋体" w:eastAsia="宋体"/>
                <w:color w:val="auto"/>
                <w:szCs w:val="21"/>
                <w:highlight w:val="none"/>
              </w:rPr>
              <w:t>负责人：同时具有</w:t>
            </w:r>
            <w:r>
              <w:rPr>
                <w:rFonts w:hint="eastAsia" w:ascii="宋体" w:hAnsi="宋体" w:eastAsia="宋体"/>
                <w:color w:val="auto"/>
                <w:szCs w:val="21"/>
                <w:highlight w:val="none"/>
                <w:lang w:val="en-US" w:eastAsia="zh-CN"/>
              </w:rPr>
              <w:t>高级餐饮职业经理人</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高级健康管理师、高级农产品检验员证书，</w:t>
            </w:r>
            <w:r>
              <w:rPr>
                <w:rFonts w:hint="eastAsia" w:ascii="宋体" w:hAnsi="宋体" w:eastAsia="宋体"/>
                <w:color w:val="auto"/>
                <w:szCs w:val="21"/>
                <w:highlight w:val="none"/>
              </w:rPr>
              <w:t>得</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w:t>
            </w:r>
          </w:p>
          <w:p w14:paraId="72C30681">
            <w:pPr>
              <w:pStyle w:val="20"/>
              <w:numPr>
                <w:ilvl w:val="0"/>
                <w:numId w:val="0"/>
              </w:numPr>
              <w:spacing w:after="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（2）项目经理：具有高级食品安全管理员证书得2分</w:t>
            </w:r>
          </w:p>
          <w:p w14:paraId="2CCA6C68">
            <w:pPr>
              <w:pStyle w:val="20"/>
              <w:numPr>
                <w:ilvl w:val="0"/>
                <w:numId w:val="0"/>
              </w:numPr>
              <w:spacing w:after="0"/>
              <w:ind w:leftChars="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（3）营养师</w:t>
            </w: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具备高级营养师证书</w:t>
            </w:r>
            <w:r>
              <w:rPr>
                <w:rFonts w:hint="eastAsia" w:ascii="宋体" w:hAnsi="宋体" w:eastAsia="宋体"/>
                <w:color w:val="auto"/>
                <w:szCs w:val="21"/>
                <w:highlight w:val="none"/>
              </w:rPr>
              <w:t>，得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w:t>
            </w:r>
          </w:p>
          <w:p w14:paraId="54BE4A69">
            <w:pPr>
              <w:pStyle w:val="20"/>
              <w:spacing w:after="0"/>
              <w:ind w:left="0" w:leftChars="0"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）厨师长：同时具有高级中式烹调师证和高级食品安全管理员证书，得2分；</w:t>
            </w:r>
          </w:p>
          <w:p w14:paraId="1B45A881">
            <w:pPr>
              <w:pStyle w:val="20"/>
              <w:spacing w:after="0"/>
              <w:ind w:left="0" w:leftChars="0"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rPr>
              <w:t>（</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）服务人员（除项目负责人、</w:t>
            </w:r>
            <w:r>
              <w:rPr>
                <w:rFonts w:hint="eastAsia" w:ascii="宋体" w:hAnsi="宋体" w:eastAsia="宋体"/>
                <w:color w:val="auto"/>
                <w:szCs w:val="21"/>
                <w:highlight w:val="none"/>
                <w:lang w:val="en-US" w:eastAsia="zh-CN"/>
              </w:rPr>
              <w:t>营养师</w:t>
            </w:r>
            <w:r>
              <w:rPr>
                <w:rFonts w:hint="eastAsia" w:ascii="宋体" w:hAnsi="宋体" w:eastAsia="宋体"/>
                <w:color w:val="auto"/>
                <w:szCs w:val="21"/>
                <w:highlight w:val="none"/>
              </w:rPr>
              <w:t>、厨师长外）：</w:t>
            </w:r>
          </w:p>
          <w:p w14:paraId="2AA04CA0">
            <w:pPr>
              <w:pStyle w:val="20"/>
              <w:spacing w:after="0"/>
              <w:ind w:left="0" w:leftChars="0"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rPr>
              <w:t>①配备专职食品安全管理员，提供高级食品安全管理员证书，得1分，中级的得0.5分，本小项最高得</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w:t>
            </w:r>
          </w:p>
          <w:p w14:paraId="44A64711">
            <w:pPr>
              <w:pStyle w:val="20"/>
              <w:spacing w:after="0"/>
              <w:ind w:left="0" w:leftChars="0"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rPr>
              <w:t>②配备</w:t>
            </w:r>
            <w:r>
              <w:rPr>
                <w:rFonts w:hint="eastAsia" w:ascii="宋体" w:hAnsi="宋体" w:eastAsia="宋体"/>
                <w:color w:val="auto"/>
                <w:szCs w:val="21"/>
                <w:highlight w:val="none"/>
                <w:lang w:val="en-US" w:eastAsia="zh-CN"/>
              </w:rPr>
              <w:t>高级中式烹调</w:t>
            </w:r>
            <w:r>
              <w:rPr>
                <w:rFonts w:hint="eastAsia" w:ascii="宋体" w:hAnsi="宋体" w:eastAsia="宋体"/>
                <w:color w:val="auto"/>
                <w:szCs w:val="21"/>
                <w:highlight w:val="none"/>
              </w:rPr>
              <w:t>师，</w:t>
            </w:r>
            <w:r>
              <w:rPr>
                <w:rFonts w:hint="eastAsia" w:ascii="宋体" w:hAnsi="宋体" w:eastAsia="宋体"/>
                <w:color w:val="auto"/>
                <w:szCs w:val="21"/>
                <w:highlight w:val="none"/>
                <w:lang w:val="en-US" w:eastAsia="zh-CN"/>
              </w:rPr>
              <w:t>每提供一个证书</w:t>
            </w:r>
            <w:r>
              <w:rPr>
                <w:rFonts w:hint="eastAsia" w:ascii="宋体" w:hAnsi="宋体" w:eastAsia="宋体"/>
                <w:color w:val="auto"/>
                <w:szCs w:val="21"/>
                <w:highlight w:val="none"/>
              </w:rPr>
              <w:t>得</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分，本小项最高得</w:t>
            </w:r>
            <w:r>
              <w:rPr>
                <w:rFonts w:hint="eastAsia" w:ascii="宋体" w:hAnsi="宋体" w:eastAsia="宋体"/>
                <w:color w:val="auto"/>
                <w:szCs w:val="21"/>
                <w:highlight w:val="none"/>
                <w:lang w:val="en-US" w:eastAsia="zh-CN"/>
              </w:rPr>
              <w:t>2</w:t>
            </w:r>
            <w:r>
              <w:rPr>
                <w:rFonts w:hint="eastAsia" w:ascii="宋体" w:hAnsi="宋体" w:eastAsia="宋体"/>
                <w:color w:val="auto"/>
                <w:szCs w:val="21"/>
                <w:highlight w:val="none"/>
              </w:rPr>
              <w:t>分。</w:t>
            </w:r>
          </w:p>
          <w:p w14:paraId="4857721F">
            <w:pPr>
              <w:pStyle w:val="20"/>
              <w:spacing w:after="0"/>
              <w:ind w:left="0" w:leftChars="0" w:firstLine="0" w:firstLineChars="0"/>
              <w:jc w:val="left"/>
              <w:rPr>
                <w:rFonts w:hint="eastAsia" w:ascii="宋体" w:hAnsi="宋体" w:eastAsia="宋体"/>
                <w:color w:val="auto"/>
                <w:szCs w:val="21"/>
                <w:highlight w:val="none"/>
              </w:rPr>
            </w:pPr>
            <w:r>
              <w:rPr>
                <w:rFonts w:hint="eastAsia" w:ascii="宋体" w:hAnsi="宋体" w:eastAsia="宋体"/>
                <w:color w:val="auto"/>
                <w:szCs w:val="21"/>
                <w:highlight w:val="none"/>
              </w:rPr>
              <w:t>③具有高级西式面点师的，</w:t>
            </w:r>
            <w:r>
              <w:rPr>
                <w:rFonts w:hint="eastAsia" w:ascii="宋体" w:hAnsi="宋体" w:eastAsia="宋体"/>
                <w:color w:val="auto"/>
                <w:szCs w:val="21"/>
                <w:highlight w:val="none"/>
                <w:lang w:val="en-US" w:eastAsia="zh-CN"/>
              </w:rPr>
              <w:t>每提供一个</w:t>
            </w:r>
            <w:r>
              <w:rPr>
                <w:rFonts w:hint="eastAsia" w:ascii="宋体" w:hAnsi="宋体" w:eastAsia="宋体"/>
                <w:color w:val="auto"/>
                <w:szCs w:val="21"/>
                <w:highlight w:val="none"/>
              </w:rPr>
              <w:t>得</w:t>
            </w:r>
            <w:r>
              <w:rPr>
                <w:rFonts w:hint="eastAsia" w:ascii="宋体" w:hAnsi="宋体" w:eastAsia="宋体"/>
                <w:color w:val="auto"/>
                <w:szCs w:val="21"/>
                <w:highlight w:val="none"/>
                <w:lang w:val="en-US" w:eastAsia="zh-CN"/>
              </w:rPr>
              <w:t>1</w:t>
            </w:r>
            <w:r>
              <w:rPr>
                <w:rFonts w:hint="eastAsia" w:ascii="宋体" w:hAnsi="宋体" w:eastAsia="宋体"/>
                <w:color w:val="auto"/>
                <w:szCs w:val="21"/>
                <w:highlight w:val="none"/>
              </w:rPr>
              <w:t>分，</w:t>
            </w:r>
            <w:r>
              <w:rPr>
                <w:rFonts w:hint="eastAsia" w:ascii="宋体" w:hAnsi="宋体" w:eastAsia="宋体"/>
                <w:color w:val="auto"/>
                <w:szCs w:val="21"/>
                <w:highlight w:val="none"/>
                <w:lang w:val="en-US" w:eastAsia="zh-CN"/>
              </w:rPr>
              <w:t>本小项目最高3分</w:t>
            </w:r>
            <w:r>
              <w:rPr>
                <w:rFonts w:hint="eastAsia" w:ascii="宋体" w:hAnsi="宋体" w:eastAsia="宋体"/>
                <w:color w:val="auto"/>
                <w:szCs w:val="21"/>
                <w:highlight w:val="none"/>
              </w:rPr>
              <w:t>。</w:t>
            </w:r>
          </w:p>
          <w:p w14:paraId="3B3088DF">
            <w:pPr>
              <w:pStyle w:val="20"/>
              <w:ind w:left="0" w:leftChars="0" w:firstLine="0" w:firstLineChars="0"/>
              <w:jc w:val="left"/>
              <w:rPr>
                <w:rFonts w:hint="eastAsia" w:ascii="宋体" w:hAnsi="宋体" w:eastAsia="宋体" w:cs="宋体"/>
                <w:color w:val="auto"/>
                <w:sz w:val="21"/>
                <w:szCs w:val="21"/>
              </w:rPr>
            </w:pPr>
            <w:r>
              <w:rPr>
                <w:rFonts w:hint="eastAsia" w:ascii="宋体" w:hAnsi="宋体" w:eastAsia="宋体"/>
                <w:color w:val="auto"/>
                <w:szCs w:val="21"/>
                <w:highlight w:val="none"/>
              </w:rPr>
              <w:t>注：（1）投标文件中需提供人员配置清单（格式自拟）和人员相关证明文件并加盖公章。 （2）关于人员用工形式的证明（</w:t>
            </w:r>
            <w:r>
              <w:rPr>
                <w:rFonts w:hint="eastAsia" w:ascii="宋体" w:hAnsi="宋体" w:eastAsia="宋体"/>
                <w:color w:val="auto"/>
                <w:szCs w:val="21"/>
                <w:highlight w:val="none"/>
                <w:lang w:eastAsia="zh-CN"/>
              </w:rPr>
              <w:t>响应服务商</w:t>
            </w:r>
            <w:r>
              <w:rPr>
                <w:rFonts w:hint="eastAsia" w:ascii="宋体" w:hAnsi="宋体" w:eastAsia="宋体"/>
                <w:color w:val="auto"/>
                <w:szCs w:val="21"/>
                <w:highlight w:val="none"/>
              </w:rPr>
              <w:t>满足以下任意一项即可，未按要求提供的不得分）：a）提供</w:t>
            </w:r>
            <w:r>
              <w:rPr>
                <w:rFonts w:hint="eastAsia" w:ascii="宋体" w:hAnsi="宋体" w:eastAsia="宋体"/>
                <w:color w:val="auto"/>
                <w:szCs w:val="21"/>
                <w:highlight w:val="none"/>
                <w:lang w:eastAsia="zh-CN"/>
              </w:rPr>
              <w:t>响应服务商</w:t>
            </w:r>
            <w:r>
              <w:rPr>
                <w:rFonts w:hint="eastAsia" w:ascii="宋体" w:hAnsi="宋体" w:eastAsia="宋体"/>
                <w:color w:val="auto"/>
                <w:szCs w:val="21"/>
                <w:highlight w:val="none"/>
              </w:rPr>
              <w:t>为其购买的投标文件提交截止时间为止近6个月内任意1个月的社保证明复印件； b）如果</w:t>
            </w:r>
            <w:r>
              <w:rPr>
                <w:rFonts w:hint="eastAsia" w:ascii="宋体" w:hAnsi="宋体" w:eastAsia="宋体"/>
                <w:color w:val="auto"/>
                <w:szCs w:val="21"/>
                <w:highlight w:val="none"/>
                <w:lang w:eastAsia="zh-CN"/>
              </w:rPr>
              <w:t>响应服务商</w:t>
            </w:r>
            <w:r>
              <w:rPr>
                <w:rFonts w:hint="eastAsia" w:ascii="宋体" w:hAnsi="宋体" w:eastAsia="宋体"/>
                <w:color w:val="auto"/>
                <w:szCs w:val="21"/>
                <w:highlight w:val="none"/>
              </w:rPr>
              <w:t>成立时间或该人员入职不足1个月，则提供人员入职证明或用工证明资料。</w:t>
            </w:r>
          </w:p>
        </w:tc>
      </w:tr>
      <w:tr w14:paraId="2F2E7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750" w:type="dxa"/>
            <w:vMerge w:val="continue"/>
            <w:vAlign w:val="center"/>
          </w:tcPr>
          <w:p w14:paraId="612C0BBB">
            <w:pPr>
              <w:pStyle w:val="8"/>
              <w:spacing w:line="240" w:lineRule="auto"/>
              <w:ind w:left="0"/>
              <w:jc w:val="center"/>
              <w:rPr>
                <w:rFonts w:hint="eastAsia" w:ascii="宋体" w:hAnsi="宋体" w:eastAsia="宋体" w:cs="宋体"/>
                <w:b/>
                <w:bCs/>
                <w:color w:val="auto"/>
                <w:sz w:val="21"/>
                <w:szCs w:val="21"/>
              </w:rPr>
            </w:pPr>
          </w:p>
        </w:tc>
        <w:tc>
          <w:tcPr>
            <w:tcW w:w="1757" w:type="dxa"/>
            <w:vAlign w:val="center"/>
          </w:tcPr>
          <w:p w14:paraId="3E9C5B76">
            <w:pPr>
              <w:tabs>
                <w:tab w:val="left" w:pos="840"/>
              </w:tabs>
              <w:jc w:val="center"/>
              <w:rPr>
                <w:rFonts w:hint="eastAsia" w:ascii="宋体" w:hAnsi="宋体"/>
                <w:color w:val="auto"/>
                <w:szCs w:val="21"/>
                <w:highlight w:val="none"/>
                <w:lang w:eastAsia="zh-CN"/>
              </w:rPr>
            </w:pPr>
            <w:r>
              <w:rPr>
                <w:rFonts w:hint="eastAsia" w:ascii="宋体" w:hAnsi="宋体"/>
                <w:color w:val="auto"/>
                <w:szCs w:val="21"/>
                <w:highlight w:val="none"/>
              </w:rPr>
              <w:t>业绩要求</w:t>
            </w:r>
          </w:p>
        </w:tc>
        <w:tc>
          <w:tcPr>
            <w:tcW w:w="915" w:type="dxa"/>
            <w:vAlign w:val="center"/>
          </w:tcPr>
          <w:p w14:paraId="5A06E3C2">
            <w:pPr>
              <w:tabs>
                <w:tab w:val="left" w:pos="840"/>
              </w:tabs>
              <w:jc w:val="center"/>
              <w:rPr>
                <w:rFonts w:hint="eastAsia" w:ascii="宋体" w:hAnsi="宋体"/>
                <w:color w:val="auto"/>
                <w:szCs w:val="21"/>
                <w:highlight w:val="none"/>
              </w:rPr>
            </w:pPr>
            <w:r>
              <w:rPr>
                <w:rFonts w:hint="eastAsia" w:ascii="宋体" w:hAnsi="宋体"/>
                <w:color w:val="auto"/>
                <w:szCs w:val="21"/>
                <w:highlight w:val="none"/>
                <w:lang w:val="en-US" w:eastAsia="zh-CN"/>
              </w:rPr>
              <w:t>3</w:t>
            </w:r>
          </w:p>
        </w:tc>
        <w:tc>
          <w:tcPr>
            <w:tcW w:w="5977" w:type="dxa"/>
            <w:gridSpan w:val="2"/>
            <w:vAlign w:val="center"/>
          </w:tcPr>
          <w:p w14:paraId="47A0F3CC">
            <w:pPr>
              <w:tabs>
                <w:tab w:val="left" w:pos="840"/>
              </w:tabs>
              <w:jc w:val="left"/>
              <w:rPr>
                <w:color w:val="auto"/>
                <w:szCs w:val="21"/>
                <w:highlight w:val="none"/>
              </w:rPr>
            </w:pPr>
            <w:r>
              <w:rPr>
                <w:color w:val="auto"/>
                <w:szCs w:val="21"/>
                <w:highlight w:val="none"/>
              </w:rPr>
              <w:t>1、2021年1月1日至今（以合同签订时间为准）已完成或正在履行的食堂整体承包运营相关项目业绩的，每提供1项业绩得</w:t>
            </w:r>
            <w:r>
              <w:rPr>
                <w:rFonts w:hint="eastAsia"/>
                <w:color w:val="auto"/>
                <w:szCs w:val="21"/>
                <w:highlight w:val="none"/>
                <w:lang w:val="en-US" w:eastAsia="zh-CN"/>
              </w:rPr>
              <w:t>0.5</w:t>
            </w:r>
            <w:r>
              <w:rPr>
                <w:color w:val="auto"/>
                <w:szCs w:val="21"/>
                <w:highlight w:val="none"/>
              </w:rPr>
              <w:t>分，本小项最高得</w:t>
            </w:r>
            <w:r>
              <w:rPr>
                <w:rFonts w:hint="eastAsia"/>
                <w:color w:val="auto"/>
                <w:szCs w:val="21"/>
                <w:highlight w:val="none"/>
                <w:lang w:val="en-US" w:eastAsia="zh-CN"/>
              </w:rPr>
              <w:t>2.5</w:t>
            </w:r>
            <w:r>
              <w:rPr>
                <w:color w:val="auto"/>
                <w:szCs w:val="21"/>
                <w:highlight w:val="none"/>
              </w:rPr>
              <w:t xml:space="preserve">分。   </w:t>
            </w:r>
          </w:p>
          <w:p w14:paraId="498CD441">
            <w:pPr>
              <w:tabs>
                <w:tab w:val="left" w:pos="840"/>
              </w:tabs>
              <w:jc w:val="left"/>
              <w:rPr>
                <w:color w:val="auto"/>
                <w:szCs w:val="21"/>
                <w:highlight w:val="none"/>
              </w:rPr>
            </w:pPr>
            <w:r>
              <w:rPr>
                <w:color w:val="auto"/>
                <w:szCs w:val="21"/>
                <w:highlight w:val="none"/>
              </w:rPr>
              <w:t>2、</w:t>
            </w:r>
            <w:r>
              <w:rPr>
                <w:rFonts w:hint="eastAsia"/>
                <w:color w:val="auto"/>
                <w:szCs w:val="21"/>
                <w:highlight w:val="none"/>
              </w:rPr>
              <w:t>其中</w:t>
            </w:r>
            <w:r>
              <w:rPr>
                <w:color w:val="auto"/>
                <w:szCs w:val="21"/>
                <w:highlight w:val="none"/>
              </w:rPr>
              <w:t>承担过医院类食堂运营或医院类食堂管理业绩的，每提供1项业绩</w:t>
            </w:r>
            <w:r>
              <w:rPr>
                <w:rFonts w:hint="eastAsia"/>
                <w:color w:val="auto"/>
                <w:szCs w:val="21"/>
                <w:highlight w:val="none"/>
              </w:rPr>
              <w:t>加</w:t>
            </w:r>
            <w:r>
              <w:rPr>
                <w:rFonts w:hint="eastAsia"/>
                <w:color w:val="auto"/>
                <w:szCs w:val="21"/>
                <w:highlight w:val="none"/>
                <w:lang w:val="en-US" w:eastAsia="zh-CN"/>
              </w:rPr>
              <w:t>0.1</w:t>
            </w:r>
            <w:r>
              <w:rPr>
                <w:color w:val="auto"/>
                <w:szCs w:val="21"/>
                <w:highlight w:val="none"/>
              </w:rPr>
              <w:t>分，本小项最高得</w:t>
            </w:r>
            <w:r>
              <w:rPr>
                <w:rFonts w:hint="eastAsia"/>
                <w:color w:val="auto"/>
                <w:szCs w:val="21"/>
                <w:highlight w:val="none"/>
                <w:lang w:val="en-US" w:eastAsia="zh-CN"/>
              </w:rPr>
              <w:t>0.5</w:t>
            </w:r>
            <w:r>
              <w:rPr>
                <w:color w:val="auto"/>
                <w:szCs w:val="21"/>
                <w:highlight w:val="none"/>
              </w:rPr>
              <w:t>分；</w:t>
            </w:r>
          </w:p>
          <w:p w14:paraId="0CE78B58">
            <w:pPr>
              <w:tabs>
                <w:tab w:val="left" w:pos="840"/>
              </w:tabs>
              <w:jc w:val="left"/>
              <w:rPr>
                <w:rFonts w:hint="eastAsia" w:ascii="宋体" w:hAnsi="宋体" w:eastAsia="宋体"/>
                <w:color w:val="auto"/>
                <w:szCs w:val="21"/>
                <w:highlight w:val="none"/>
              </w:rPr>
            </w:pPr>
            <w:r>
              <w:rPr>
                <w:color w:val="auto"/>
                <w:szCs w:val="21"/>
                <w:highlight w:val="none"/>
              </w:rPr>
              <w:t xml:space="preserve"> 注：投标文件中须提供合同关键页及合同履行过程中任意一次的发票复印件，业绩时间以合同签订时间为准，未提供或所提供资料模糊不清的不得分。如合同中无法体现详细内容的，</w:t>
            </w:r>
            <w:r>
              <w:rPr>
                <w:rFonts w:hint="eastAsia"/>
                <w:color w:val="auto"/>
                <w:szCs w:val="21"/>
                <w:highlight w:val="none"/>
                <w:lang w:eastAsia="zh-CN"/>
              </w:rPr>
              <w:t>响应服务商</w:t>
            </w:r>
            <w:r>
              <w:rPr>
                <w:color w:val="auto"/>
                <w:szCs w:val="21"/>
                <w:highlight w:val="none"/>
              </w:rPr>
              <w:t>须提供合同甲方出具的加盖公章的证明文件，否则视为不满足评审要求。</w:t>
            </w:r>
          </w:p>
        </w:tc>
      </w:tr>
      <w:tr w14:paraId="4F9BA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750" w:type="dxa"/>
            <w:vMerge w:val="continue"/>
            <w:vAlign w:val="center"/>
          </w:tcPr>
          <w:p w14:paraId="74C7BB28">
            <w:pPr>
              <w:pStyle w:val="8"/>
              <w:spacing w:line="240" w:lineRule="auto"/>
              <w:ind w:left="0"/>
              <w:jc w:val="center"/>
              <w:rPr>
                <w:rFonts w:hint="eastAsia" w:ascii="宋体" w:hAnsi="宋体" w:eastAsia="宋体" w:cs="宋体"/>
                <w:b/>
                <w:bCs/>
                <w:color w:val="auto"/>
                <w:sz w:val="21"/>
                <w:szCs w:val="21"/>
              </w:rPr>
            </w:pPr>
          </w:p>
        </w:tc>
        <w:tc>
          <w:tcPr>
            <w:tcW w:w="1757" w:type="dxa"/>
            <w:vAlign w:val="center"/>
          </w:tcPr>
          <w:p w14:paraId="66EB7EA9">
            <w:pPr>
              <w:tabs>
                <w:tab w:val="left" w:pos="840"/>
              </w:tabs>
              <w:jc w:val="center"/>
              <w:rPr>
                <w:rFonts w:hint="eastAsia" w:ascii="宋体" w:hAnsi="宋体"/>
                <w:color w:val="auto"/>
                <w:szCs w:val="21"/>
                <w:highlight w:val="none"/>
              </w:rPr>
            </w:pPr>
            <w:r>
              <w:rPr>
                <w:rFonts w:hint="eastAsia" w:ascii="宋体" w:hAnsi="宋体"/>
                <w:color w:val="auto"/>
                <w:szCs w:val="21"/>
                <w:highlight w:val="none"/>
              </w:rPr>
              <w:t>业主好评</w:t>
            </w:r>
          </w:p>
        </w:tc>
        <w:tc>
          <w:tcPr>
            <w:tcW w:w="915" w:type="dxa"/>
            <w:vAlign w:val="center"/>
          </w:tcPr>
          <w:p w14:paraId="713AA519">
            <w:pPr>
              <w:tabs>
                <w:tab w:val="left" w:pos="840"/>
              </w:tabs>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w:t>
            </w:r>
          </w:p>
        </w:tc>
        <w:tc>
          <w:tcPr>
            <w:tcW w:w="5977" w:type="dxa"/>
            <w:gridSpan w:val="2"/>
            <w:vAlign w:val="center"/>
          </w:tcPr>
          <w:p w14:paraId="78A5367D">
            <w:pPr>
              <w:tabs>
                <w:tab w:val="left" w:pos="840"/>
              </w:tabs>
              <w:jc w:val="left"/>
              <w:rPr>
                <w:rFonts w:hint="eastAsia" w:ascii="宋体" w:hAnsi="宋体"/>
                <w:color w:val="auto"/>
                <w:szCs w:val="21"/>
                <w:highlight w:val="none"/>
              </w:rPr>
            </w:pPr>
            <w:r>
              <w:rPr>
                <w:rFonts w:hint="eastAsia" w:ascii="宋体" w:hAnsi="宋体"/>
                <w:color w:val="auto"/>
                <w:szCs w:val="21"/>
                <w:highlight w:val="none"/>
              </w:rPr>
              <w:t>提供上述医院类</w:t>
            </w:r>
            <w:r>
              <w:rPr>
                <w:color w:val="auto"/>
                <w:szCs w:val="21"/>
                <w:highlight w:val="none"/>
              </w:rPr>
              <w:t>食堂运营或医院类食堂管理</w:t>
            </w:r>
            <w:r>
              <w:rPr>
                <w:rFonts w:hint="eastAsia" w:ascii="宋体" w:hAnsi="宋体"/>
                <w:color w:val="auto"/>
                <w:szCs w:val="21"/>
                <w:highlight w:val="none"/>
              </w:rPr>
              <w:t>服务项目业绩的用户书面满意度评价或意见反馈情况：正面评价（业主书面优秀、满意或相当之类的正面评价），不含及格或合格等普通评价，每份得1分；本项最高得3分。</w:t>
            </w:r>
          </w:p>
          <w:p w14:paraId="0FD1BDBE">
            <w:pPr>
              <w:tabs>
                <w:tab w:val="left" w:pos="840"/>
              </w:tabs>
              <w:jc w:val="left"/>
              <w:rPr>
                <w:color w:val="auto"/>
                <w:szCs w:val="21"/>
                <w:highlight w:val="none"/>
              </w:rPr>
            </w:pPr>
            <w:r>
              <w:rPr>
                <w:rFonts w:hint="eastAsia" w:ascii="宋体" w:hAnsi="宋体"/>
                <w:color w:val="auto"/>
                <w:szCs w:val="21"/>
                <w:highlight w:val="none"/>
              </w:rPr>
              <w:t>注：提供相关用户书面满意度评价或意见反馈情况（需用户单位盖章），复印件并加盖供应商公章，满意度评价（或意见反馈情况）要和业绩须是同一用户，不符合要求或不提供，不得分。</w:t>
            </w:r>
          </w:p>
        </w:tc>
      </w:tr>
      <w:tr w14:paraId="41476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750" w:type="dxa"/>
            <w:vMerge w:val="continue"/>
            <w:vAlign w:val="center"/>
          </w:tcPr>
          <w:p w14:paraId="6C146B6B">
            <w:pPr>
              <w:pStyle w:val="8"/>
              <w:spacing w:line="240" w:lineRule="auto"/>
              <w:ind w:left="0"/>
              <w:jc w:val="center"/>
              <w:rPr>
                <w:rFonts w:hint="eastAsia" w:ascii="宋体" w:hAnsi="宋体" w:eastAsia="宋体" w:cs="宋体"/>
                <w:b/>
                <w:bCs/>
                <w:color w:val="auto"/>
                <w:sz w:val="21"/>
                <w:szCs w:val="21"/>
              </w:rPr>
            </w:pPr>
          </w:p>
        </w:tc>
        <w:tc>
          <w:tcPr>
            <w:tcW w:w="1757" w:type="dxa"/>
            <w:vAlign w:val="center"/>
          </w:tcPr>
          <w:p w14:paraId="0F13F360">
            <w:pPr>
              <w:jc w:val="center"/>
              <w:rPr>
                <w:rFonts w:hint="eastAsia" w:ascii="宋体" w:hAnsi="宋体"/>
                <w:color w:val="auto"/>
                <w:szCs w:val="21"/>
                <w:highlight w:val="none"/>
              </w:rPr>
            </w:pPr>
            <w:r>
              <w:rPr>
                <w:rFonts w:hint="eastAsia" w:ascii="宋体" w:hAnsi="宋体"/>
                <w:color w:val="auto"/>
                <w:szCs w:val="21"/>
                <w:highlight w:val="none"/>
              </w:rPr>
              <w:t>企业抗风险能力</w:t>
            </w:r>
          </w:p>
        </w:tc>
        <w:tc>
          <w:tcPr>
            <w:tcW w:w="915" w:type="dxa"/>
            <w:vAlign w:val="center"/>
          </w:tcPr>
          <w:p w14:paraId="21A78963">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w:t>
            </w:r>
          </w:p>
        </w:tc>
        <w:tc>
          <w:tcPr>
            <w:tcW w:w="5977" w:type="dxa"/>
            <w:gridSpan w:val="2"/>
            <w:vAlign w:val="center"/>
          </w:tcPr>
          <w:p w14:paraId="4BC16CDF">
            <w:pPr>
              <w:rPr>
                <w:rFonts w:hint="eastAsia" w:ascii="宋体" w:hAnsi="宋体"/>
                <w:color w:val="auto"/>
                <w:szCs w:val="21"/>
                <w:highlight w:val="none"/>
              </w:rPr>
            </w:pPr>
            <w:r>
              <w:rPr>
                <w:rFonts w:hint="eastAsia" w:ascii="宋体" w:hAnsi="宋体"/>
                <w:color w:val="auto"/>
                <w:szCs w:val="21"/>
                <w:highlight w:val="none"/>
                <w:lang w:eastAsia="zh-CN"/>
              </w:rPr>
              <w:t>响应服务商</w:t>
            </w:r>
            <w:r>
              <w:rPr>
                <w:rFonts w:hint="eastAsia" w:ascii="宋体" w:hAnsi="宋体"/>
                <w:color w:val="auto"/>
                <w:szCs w:val="21"/>
                <w:highlight w:val="none"/>
              </w:rPr>
              <w:t>提供食品安全责任保险：</w:t>
            </w:r>
          </w:p>
          <w:p w14:paraId="59B13828">
            <w:pPr>
              <w:rPr>
                <w:rFonts w:hint="eastAsia" w:ascii="宋体" w:hAnsi="宋体"/>
                <w:color w:val="auto"/>
                <w:szCs w:val="21"/>
                <w:highlight w:val="none"/>
              </w:rPr>
            </w:pPr>
            <w:r>
              <w:rPr>
                <w:rFonts w:hint="eastAsia" w:ascii="宋体" w:hAnsi="宋体"/>
                <w:color w:val="auto"/>
                <w:szCs w:val="21"/>
                <w:highlight w:val="none"/>
              </w:rPr>
              <w:t>保额</w:t>
            </w:r>
            <w:r>
              <w:rPr>
                <w:rFonts w:ascii="宋体" w:hAnsi="宋体"/>
                <w:color w:val="auto"/>
                <w:szCs w:val="21"/>
                <w:highlight w:val="none"/>
              </w:rPr>
              <w:t>1000</w:t>
            </w:r>
            <w:r>
              <w:rPr>
                <w:rFonts w:hint="eastAsia" w:ascii="宋体" w:hAnsi="宋体"/>
                <w:color w:val="auto"/>
                <w:szCs w:val="21"/>
                <w:highlight w:val="none"/>
              </w:rPr>
              <w:t>万元以上(含</w:t>
            </w:r>
            <w:r>
              <w:rPr>
                <w:rFonts w:ascii="宋体" w:hAnsi="宋体"/>
                <w:color w:val="auto"/>
                <w:szCs w:val="21"/>
                <w:highlight w:val="none"/>
              </w:rPr>
              <w:t>1000</w:t>
            </w:r>
            <w:r>
              <w:rPr>
                <w:rFonts w:hint="eastAsia" w:ascii="宋体" w:hAnsi="宋体"/>
                <w:color w:val="auto"/>
                <w:szCs w:val="21"/>
                <w:highlight w:val="none"/>
              </w:rPr>
              <w:t>万元)，得</w:t>
            </w:r>
            <w:r>
              <w:rPr>
                <w:rFonts w:hint="eastAsia" w:ascii="宋体" w:hAnsi="宋体"/>
                <w:color w:val="auto"/>
                <w:szCs w:val="21"/>
                <w:highlight w:val="none"/>
                <w:lang w:val="en-US" w:eastAsia="zh-CN"/>
              </w:rPr>
              <w:t>2</w:t>
            </w:r>
            <w:r>
              <w:rPr>
                <w:rFonts w:hint="eastAsia" w:ascii="宋体" w:hAnsi="宋体"/>
                <w:color w:val="auto"/>
                <w:szCs w:val="21"/>
                <w:highlight w:val="none"/>
              </w:rPr>
              <w:t>分；</w:t>
            </w:r>
          </w:p>
          <w:p w14:paraId="3257600F">
            <w:pPr>
              <w:rPr>
                <w:rFonts w:hint="eastAsia" w:ascii="宋体" w:hAnsi="宋体"/>
                <w:color w:val="auto"/>
                <w:szCs w:val="21"/>
                <w:highlight w:val="none"/>
              </w:rPr>
            </w:pPr>
            <w:r>
              <w:rPr>
                <w:rFonts w:hint="eastAsia" w:ascii="宋体" w:hAnsi="宋体"/>
                <w:color w:val="auto"/>
                <w:szCs w:val="21"/>
                <w:highlight w:val="none"/>
              </w:rPr>
              <w:t>保额</w:t>
            </w:r>
            <w:r>
              <w:rPr>
                <w:rFonts w:ascii="宋体" w:hAnsi="宋体"/>
                <w:color w:val="auto"/>
                <w:szCs w:val="21"/>
                <w:highlight w:val="none"/>
              </w:rPr>
              <w:t>500</w:t>
            </w:r>
            <w:r>
              <w:rPr>
                <w:rFonts w:hint="eastAsia" w:ascii="宋体" w:hAnsi="宋体"/>
                <w:color w:val="auto"/>
                <w:szCs w:val="21"/>
                <w:highlight w:val="none"/>
              </w:rPr>
              <w:t>万(含)以上-</w:t>
            </w:r>
            <w:r>
              <w:rPr>
                <w:rFonts w:ascii="宋体" w:hAnsi="宋体"/>
                <w:color w:val="auto"/>
                <w:szCs w:val="21"/>
                <w:highlight w:val="none"/>
              </w:rPr>
              <w:t>1000</w:t>
            </w:r>
            <w:r>
              <w:rPr>
                <w:rFonts w:hint="eastAsia" w:ascii="宋体" w:hAnsi="宋体"/>
                <w:color w:val="auto"/>
                <w:szCs w:val="21"/>
                <w:highlight w:val="none"/>
              </w:rPr>
              <w:t>万元内，得</w:t>
            </w:r>
            <w:r>
              <w:rPr>
                <w:rFonts w:hint="eastAsia" w:ascii="宋体" w:hAnsi="宋体"/>
                <w:color w:val="auto"/>
                <w:szCs w:val="21"/>
                <w:highlight w:val="none"/>
                <w:lang w:val="en-US" w:eastAsia="zh-CN"/>
              </w:rPr>
              <w:t>1</w:t>
            </w:r>
            <w:r>
              <w:rPr>
                <w:rFonts w:hint="eastAsia" w:ascii="宋体" w:hAnsi="宋体"/>
                <w:color w:val="auto"/>
                <w:szCs w:val="21"/>
                <w:highlight w:val="none"/>
              </w:rPr>
              <w:t>分；</w:t>
            </w:r>
          </w:p>
          <w:p w14:paraId="0011C9F9">
            <w:pPr>
              <w:rPr>
                <w:rFonts w:hint="eastAsia" w:ascii="宋体" w:hAnsi="宋体"/>
                <w:color w:val="auto"/>
                <w:szCs w:val="21"/>
                <w:highlight w:val="none"/>
              </w:rPr>
            </w:pPr>
            <w:r>
              <w:rPr>
                <w:rFonts w:hint="eastAsia" w:ascii="宋体" w:hAnsi="宋体"/>
                <w:color w:val="auto"/>
                <w:szCs w:val="21"/>
                <w:highlight w:val="none"/>
              </w:rPr>
              <w:t>保额</w:t>
            </w:r>
            <w:r>
              <w:rPr>
                <w:rFonts w:hint="eastAsia" w:ascii="宋体" w:hAnsi="宋体"/>
                <w:color w:val="auto"/>
                <w:szCs w:val="21"/>
                <w:highlight w:val="none"/>
                <w:lang w:val="en-US" w:eastAsia="zh-CN"/>
              </w:rPr>
              <w:t>低于</w:t>
            </w:r>
            <w:r>
              <w:rPr>
                <w:rFonts w:ascii="宋体" w:hAnsi="宋体"/>
                <w:color w:val="auto"/>
                <w:szCs w:val="21"/>
                <w:highlight w:val="none"/>
              </w:rPr>
              <w:t>500</w:t>
            </w:r>
            <w:r>
              <w:rPr>
                <w:rFonts w:hint="eastAsia" w:ascii="宋体" w:hAnsi="宋体"/>
                <w:color w:val="auto"/>
                <w:szCs w:val="21"/>
                <w:highlight w:val="none"/>
              </w:rPr>
              <w:t>万元以内，得</w:t>
            </w:r>
            <w:r>
              <w:rPr>
                <w:rFonts w:hint="eastAsia" w:ascii="宋体" w:hAnsi="宋体"/>
                <w:color w:val="auto"/>
                <w:szCs w:val="21"/>
                <w:highlight w:val="none"/>
                <w:lang w:val="en-US" w:eastAsia="zh-CN"/>
              </w:rPr>
              <w:t>0</w:t>
            </w:r>
            <w:r>
              <w:rPr>
                <w:rFonts w:hint="eastAsia" w:ascii="宋体" w:hAnsi="宋体"/>
                <w:color w:val="auto"/>
                <w:szCs w:val="21"/>
                <w:highlight w:val="none"/>
              </w:rPr>
              <w:t>分；</w:t>
            </w:r>
          </w:p>
          <w:p w14:paraId="16D12DC5">
            <w:pPr>
              <w:rPr>
                <w:rFonts w:hint="eastAsia" w:ascii="宋体" w:hAnsi="宋体"/>
                <w:color w:val="auto"/>
                <w:szCs w:val="21"/>
                <w:highlight w:val="none"/>
              </w:rPr>
            </w:pPr>
            <w:r>
              <w:rPr>
                <w:rFonts w:hint="eastAsia" w:ascii="宋体" w:hAnsi="宋体"/>
                <w:color w:val="auto"/>
                <w:szCs w:val="21"/>
                <w:highlight w:val="none"/>
              </w:rPr>
              <w:t>注：</w:t>
            </w:r>
            <w:r>
              <w:rPr>
                <w:rFonts w:hint="eastAsia" w:ascii="宋体" w:hAnsi="宋体"/>
                <w:color w:val="auto"/>
                <w:szCs w:val="21"/>
                <w:highlight w:val="none"/>
                <w:lang w:eastAsia="zh-CN"/>
              </w:rPr>
              <w:t>响应服务商</w:t>
            </w:r>
            <w:r>
              <w:rPr>
                <w:rFonts w:hint="eastAsia" w:ascii="宋体" w:hAnsi="宋体"/>
                <w:color w:val="auto"/>
                <w:szCs w:val="21"/>
                <w:highlight w:val="none"/>
              </w:rPr>
              <w:t>提供有效期内</w:t>
            </w:r>
            <w:r>
              <w:rPr>
                <w:rFonts w:hint="eastAsia" w:ascii="宋体" w:hAnsi="宋体"/>
                <w:color w:val="auto"/>
                <w:szCs w:val="21"/>
                <w:highlight w:val="none"/>
                <w:lang w:eastAsia="zh-CN"/>
              </w:rPr>
              <w:t>响应服务商</w:t>
            </w:r>
            <w:r>
              <w:rPr>
                <w:rFonts w:hint="eastAsia" w:ascii="宋体" w:hAnsi="宋体"/>
                <w:color w:val="auto"/>
                <w:szCs w:val="21"/>
                <w:highlight w:val="none"/>
              </w:rPr>
              <w:t>购买食品安全责任险保单复印件并加盖公章或提供承诺函。</w:t>
            </w:r>
          </w:p>
        </w:tc>
      </w:tr>
      <w:tr w14:paraId="6B464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750" w:type="dxa"/>
            <w:vMerge w:val="continue"/>
            <w:vAlign w:val="center"/>
          </w:tcPr>
          <w:p w14:paraId="1B369374">
            <w:pPr>
              <w:pStyle w:val="8"/>
              <w:spacing w:line="240" w:lineRule="auto"/>
              <w:ind w:left="0"/>
              <w:jc w:val="center"/>
              <w:rPr>
                <w:rFonts w:hint="eastAsia" w:ascii="宋体" w:hAnsi="宋体" w:eastAsia="宋体" w:cs="宋体"/>
                <w:b/>
                <w:bCs/>
                <w:color w:val="auto"/>
                <w:sz w:val="21"/>
                <w:szCs w:val="21"/>
              </w:rPr>
            </w:pPr>
          </w:p>
        </w:tc>
        <w:tc>
          <w:tcPr>
            <w:tcW w:w="1757" w:type="dxa"/>
            <w:vAlign w:val="center"/>
          </w:tcPr>
          <w:p w14:paraId="0D728DF8">
            <w:pPr>
              <w:jc w:val="center"/>
              <w:rPr>
                <w:rFonts w:hint="eastAsia" w:ascii="宋体" w:hAnsi="宋体"/>
                <w:color w:val="auto"/>
                <w:szCs w:val="21"/>
                <w:highlight w:val="none"/>
              </w:rPr>
            </w:pPr>
            <w:r>
              <w:rPr>
                <w:rFonts w:hint="eastAsia" w:ascii="宋体" w:hAnsi="宋体"/>
                <w:color w:val="auto"/>
                <w:szCs w:val="21"/>
                <w:highlight w:val="none"/>
                <w:lang w:val="en-US" w:eastAsia="zh-CN"/>
              </w:rPr>
              <w:t>企业信用</w:t>
            </w:r>
          </w:p>
        </w:tc>
        <w:tc>
          <w:tcPr>
            <w:tcW w:w="915" w:type="dxa"/>
            <w:vAlign w:val="center"/>
          </w:tcPr>
          <w:p w14:paraId="66194893">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w:t>
            </w:r>
          </w:p>
        </w:tc>
        <w:tc>
          <w:tcPr>
            <w:tcW w:w="5977" w:type="dxa"/>
            <w:gridSpan w:val="2"/>
            <w:vAlign w:val="center"/>
          </w:tcPr>
          <w:p w14:paraId="7B013C68">
            <w:pPr>
              <w:numPr>
                <w:ilvl w:val="0"/>
                <w:numId w:val="0"/>
              </w:numPr>
              <w:rPr>
                <w:rFonts w:hint="eastAsia" w:ascii="宋体" w:hAnsi="宋体"/>
                <w:color w:val="auto"/>
                <w:szCs w:val="21"/>
                <w:highlight w:val="none"/>
                <w:lang w:val="en-US" w:eastAsia="zh-CN"/>
              </w:rPr>
            </w:pPr>
            <w:r>
              <w:rPr>
                <w:rFonts w:hint="eastAsia" w:ascii="宋体" w:hAnsi="宋体" w:eastAsia="宋体" w:cs="Times New Roman"/>
                <w:color w:val="auto"/>
                <w:kern w:val="2"/>
                <w:sz w:val="21"/>
                <w:szCs w:val="21"/>
                <w:highlight w:val="none"/>
                <w:lang w:val="en-US" w:eastAsia="zh-CN" w:bidi="ar-SA"/>
              </w:rPr>
              <w:t>1.</w:t>
            </w:r>
            <w:r>
              <w:rPr>
                <w:rFonts w:hint="eastAsia" w:ascii="宋体" w:hAnsi="宋体"/>
                <w:color w:val="auto"/>
                <w:szCs w:val="21"/>
                <w:highlight w:val="none"/>
                <w:lang w:val="en-US" w:eastAsia="zh-CN"/>
              </w:rPr>
              <w:t>响应服务商获得市级及以上龙头企业证书的得1分。</w:t>
            </w:r>
          </w:p>
          <w:p w14:paraId="31F6F5EF">
            <w:pPr>
              <w:numPr>
                <w:ilvl w:val="0"/>
                <w:numId w:val="0"/>
              </w:numPr>
              <w:rPr>
                <w:rFonts w:hint="default" w:ascii="宋体" w:hAnsi="宋体"/>
                <w:color w:val="auto"/>
                <w:szCs w:val="21"/>
                <w:highlight w:val="none"/>
                <w:lang w:val="en-US" w:eastAsia="zh-CN"/>
              </w:rPr>
            </w:pPr>
            <w:r>
              <w:rPr>
                <w:rFonts w:hint="default" w:ascii="宋体" w:hAnsi="宋体" w:eastAsia="宋体" w:cs="Times New Roman"/>
                <w:color w:val="auto"/>
                <w:kern w:val="2"/>
                <w:sz w:val="21"/>
                <w:szCs w:val="21"/>
                <w:highlight w:val="none"/>
                <w:lang w:val="en-US" w:eastAsia="zh-CN" w:bidi="ar-SA"/>
              </w:rPr>
              <w:t>2.</w:t>
            </w:r>
            <w:r>
              <w:rPr>
                <w:rFonts w:hint="eastAsia" w:ascii="宋体" w:hAnsi="宋体"/>
                <w:color w:val="auto"/>
                <w:szCs w:val="21"/>
                <w:highlight w:val="none"/>
                <w:lang w:val="en-US" w:eastAsia="zh-CN"/>
              </w:rPr>
              <w:t>响应服务商在过往服务过的医院食堂项目获得过A级饭堂证书，每提供1个得0.5分，本小项最高1分。</w:t>
            </w:r>
          </w:p>
          <w:p w14:paraId="4BBEF944">
            <w:pPr>
              <w:numPr>
                <w:ilvl w:val="0"/>
                <w:numId w:val="0"/>
              </w:numPr>
              <w:ind w:left="0" w:leftChars="0" w:firstLine="0" w:firstLineChars="0"/>
              <w:rPr>
                <w:rFonts w:hint="eastAsia" w:ascii="宋体" w:hAnsi="宋体"/>
                <w:color w:val="auto"/>
                <w:szCs w:val="21"/>
                <w:highlight w:val="none"/>
              </w:rPr>
            </w:pPr>
            <w:r>
              <w:rPr>
                <w:rFonts w:hint="eastAsia" w:ascii="宋体" w:hAnsi="宋体"/>
                <w:color w:val="auto"/>
                <w:szCs w:val="21"/>
                <w:highlight w:val="none"/>
                <w:lang w:val="en-US" w:eastAsia="zh-CN"/>
              </w:rPr>
              <w:t>注：提供证书及荣誉牌匾证明。</w:t>
            </w:r>
          </w:p>
        </w:tc>
      </w:tr>
      <w:tr w14:paraId="44F69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4" w:hRule="atLeast"/>
        </w:trPr>
        <w:tc>
          <w:tcPr>
            <w:tcW w:w="750" w:type="dxa"/>
            <w:vAlign w:val="center"/>
          </w:tcPr>
          <w:p w14:paraId="331ABF97">
            <w:pPr>
              <w:pStyle w:val="8"/>
              <w:spacing w:line="240" w:lineRule="auto"/>
              <w:ind w:left="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价格</w:t>
            </w:r>
            <w:r>
              <w:rPr>
                <w:rFonts w:hint="eastAsia" w:ascii="宋体" w:hAnsi="宋体" w:eastAsia="宋体" w:cs="宋体"/>
                <w:b/>
                <w:bCs/>
                <w:color w:val="auto"/>
                <w:sz w:val="21"/>
                <w:szCs w:val="21"/>
              </w:rPr>
              <w:t>评价</w:t>
            </w:r>
          </w:p>
        </w:tc>
        <w:tc>
          <w:tcPr>
            <w:tcW w:w="1757" w:type="dxa"/>
            <w:vAlign w:val="center"/>
          </w:tcPr>
          <w:p w14:paraId="2C01A15B">
            <w:pPr>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菜品价格下浮</w:t>
            </w:r>
          </w:p>
        </w:tc>
        <w:tc>
          <w:tcPr>
            <w:tcW w:w="915" w:type="dxa"/>
            <w:vAlign w:val="center"/>
          </w:tcPr>
          <w:p w14:paraId="419FDD10">
            <w:pPr>
              <w:pStyle w:val="5"/>
              <w:ind w:firstLine="105" w:firstLineChars="50"/>
              <w:jc w:val="center"/>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20</w:t>
            </w:r>
          </w:p>
        </w:tc>
        <w:tc>
          <w:tcPr>
            <w:tcW w:w="5977" w:type="dxa"/>
            <w:gridSpan w:val="2"/>
            <w:vAlign w:val="center"/>
          </w:tcPr>
          <w:p w14:paraId="773D6DC2">
            <w:pPr>
              <w:keepNext w:val="0"/>
              <w:keepLines w:val="0"/>
              <w:widowControl/>
              <w:suppressLineNumbers w:val="0"/>
              <w:jc w:val="left"/>
              <w:rPr>
                <w:rFonts w:hint="eastAsia" w:ascii="宋体" w:hAnsi="宋体" w:eastAsia="宋体" w:cs="Times New Roman"/>
                <w:color w:val="auto"/>
                <w:szCs w:val="21"/>
                <w:highlight w:val="none"/>
                <w:lang w:val="en-US" w:eastAsia="zh-CN"/>
              </w:rPr>
            </w:pPr>
            <w:r>
              <w:rPr>
                <w:rFonts w:hint="eastAsia" w:ascii="宋体" w:hAnsi="宋体"/>
                <w:color w:val="auto"/>
                <w:szCs w:val="21"/>
                <w:highlight w:val="none"/>
                <w:lang w:val="en-US" w:eastAsia="zh-CN"/>
              </w:rPr>
              <w:t>响应服务商对附表菜品价格进行下浮，</w:t>
            </w:r>
            <w:r>
              <w:rPr>
                <w:rFonts w:hint="eastAsia" w:ascii="宋体" w:hAnsi="宋体" w:eastAsia="宋体" w:cs="Times New Roman"/>
                <w:color w:val="auto"/>
                <w:szCs w:val="21"/>
                <w:highlight w:val="none"/>
                <w:lang w:val="en-US" w:eastAsia="zh-CN"/>
              </w:rPr>
              <w:t>下浮率有效范围：</w:t>
            </w:r>
            <w:r>
              <w:rPr>
                <w:rFonts w:hint="eastAsia" w:ascii="宋体" w:hAnsi="宋体" w:cs="Times New Roman"/>
                <w:color w:val="auto"/>
                <w:szCs w:val="21"/>
                <w:highlight w:val="none"/>
                <w:lang w:val="en-US" w:eastAsia="zh-CN"/>
              </w:rPr>
              <w:t>1</w:t>
            </w:r>
            <w:r>
              <w:rPr>
                <w:rFonts w:hint="eastAsia" w:ascii="宋体" w:hAnsi="宋体" w:eastAsia="宋体" w:cs="Times New Roman"/>
                <w:color w:val="auto"/>
                <w:szCs w:val="21"/>
                <w:highlight w:val="none"/>
                <w:lang w:val="en-US" w:eastAsia="zh-CN"/>
              </w:rPr>
              <w:t>0%</w:t>
            </w:r>
            <w:r>
              <w:rPr>
                <w:rFonts w:hint="eastAsia" w:ascii="宋体" w:hAnsi="宋体" w:cs="Times New Roman"/>
                <w:color w:val="auto"/>
                <w:szCs w:val="21"/>
                <w:highlight w:val="none"/>
                <w:lang w:val="en-US" w:eastAsia="zh-CN"/>
              </w:rPr>
              <w:t>≤</w:t>
            </w:r>
            <w:r>
              <w:rPr>
                <w:rFonts w:hint="eastAsia" w:ascii="宋体" w:hAnsi="宋体" w:eastAsia="宋体" w:cs="Times New Roman"/>
                <w:color w:val="auto"/>
                <w:szCs w:val="21"/>
                <w:highlight w:val="none"/>
                <w:lang w:val="en-US" w:eastAsia="zh-CN"/>
              </w:rPr>
              <w:t>下浮率≤</w:t>
            </w:r>
            <w:r>
              <w:rPr>
                <w:rFonts w:hint="eastAsia" w:ascii="宋体" w:hAnsi="宋体" w:cs="Times New Roman"/>
                <w:color w:val="auto"/>
                <w:szCs w:val="21"/>
                <w:highlight w:val="none"/>
                <w:lang w:val="en-US" w:eastAsia="zh-CN"/>
              </w:rPr>
              <w:t>3</w:t>
            </w:r>
            <w:r>
              <w:rPr>
                <w:rFonts w:hint="eastAsia" w:ascii="宋体" w:hAnsi="宋体" w:eastAsia="宋体" w:cs="Times New Roman"/>
                <w:color w:val="auto"/>
                <w:szCs w:val="21"/>
                <w:highlight w:val="none"/>
                <w:lang w:val="en-US" w:eastAsia="zh-CN"/>
              </w:rPr>
              <w:t>0%</w:t>
            </w:r>
            <w:r>
              <w:rPr>
                <w:rFonts w:hint="eastAsia" w:ascii="宋体" w:hAnsi="宋体" w:cs="Times New Roman"/>
                <w:color w:val="auto"/>
                <w:szCs w:val="21"/>
                <w:highlight w:val="none"/>
                <w:lang w:val="en-US" w:eastAsia="zh-CN"/>
              </w:rPr>
              <w:t>（即70%≤折扣率≤90%）</w:t>
            </w:r>
            <w:r>
              <w:rPr>
                <w:rFonts w:hint="eastAsia" w:ascii="宋体" w:hAnsi="宋体" w:eastAsia="宋体" w:cs="Times New Roman"/>
                <w:color w:val="auto"/>
                <w:szCs w:val="21"/>
                <w:highlight w:val="none"/>
                <w:lang w:val="en-US" w:eastAsia="zh-CN"/>
              </w:rPr>
              <w:t xml:space="preserve">，数值最多可精确至小数点后两位，必须为固定值，不得存在区间值（如 </w:t>
            </w:r>
            <w:r>
              <w:rPr>
                <w:rFonts w:hint="eastAsia" w:ascii="宋体" w:hAnsi="宋体" w:cs="Times New Roman"/>
                <w:color w:val="auto"/>
                <w:szCs w:val="21"/>
                <w:highlight w:val="none"/>
                <w:lang w:val="en-US" w:eastAsia="zh-CN"/>
              </w:rPr>
              <w:t>10</w:t>
            </w:r>
            <w:r>
              <w:rPr>
                <w:rFonts w:hint="eastAsia" w:ascii="宋体" w:hAnsi="宋体" w:eastAsia="宋体" w:cs="Times New Roman"/>
                <w:color w:val="auto"/>
                <w:szCs w:val="21"/>
                <w:highlight w:val="none"/>
                <w:lang w:val="en-US" w:eastAsia="zh-CN"/>
              </w:rPr>
              <w:t>～</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0%）,统一对本项目报一个投标下浮率，不接受有选择性报价。</w:t>
            </w:r>
          </w:p>
          <w:p w14:paraId="5F00DD5F">
            <w:pPr>
              <w:keepNext w:val="0"/>
              <w:keepLines w:val="0"/>
              <w:widowControl/>
              <w:suppressLineNumbers w:val="0"/>
              <w:jc w:val="left"/>
              <w:rPr>
                <w:rFonts w:hint="eastAsia" w:ascii="宋体" w:hAnsi="宋体"/>
                <w:color w:val="auto"/>
                <w:szCs w:val="21"/>
                <w:highlight w:val="none"/>
                <w:lang w:val="en-US" w:eastAsia="zh-CN"/>
              </w:rPr>
            </w:pPr>
            <w:r>
              <w:rPr>
                <w:rFonts w:hint="eastAsia" w:ascii="宋体" w:hAnsi="宋体" w:eastAsia="宋体" w:cs="Times New Roman"/>
                <w:color w:val="auto"/>
                <w:szCs w:val="21"/>
                <w:highlight w:val="none"/>
                <w:lang w:val="en-US" w:eastAsia="zh-CN"/>
              </w:rPr>
              <w:t>各</w:t>
            </w:r>
            <w:r>
              <w:rPr>
                <w:rFonts w:hint="eastAsia" w:ascii="宋体" w:hAnsi="宋体" w:cs="Times New Roman"/>
                <w:color w:val="auto"/>
                <w:szCs w:val="21"/>
                <w:highlight w:val="none"/>
                <w:lang w:val="en-US" w:eastAsia="zh-CN"/>
              </w:rPr>
              <w:t>响应服务商</w:t>
            </w:r>
            <w:r>
              <w:rPr>
                <w:rFonts w:hint="eastAsia" w:ascii="宋体" w:hAnsi="宋体" w:eastAsia="宋体" w:cs="Times New Roman"/>
                <w:color w:val="auto"/>
                <w:szCs w:val="21"/>
                <w:highlight w:val="none"/>
                <w:lang w:val="en-US" w:eastAsia="zh-CN"/>
              </w:rPr>
              <w:t>的投标下浮率定义为评标价格。取满足</w:t>
            </w:r>
            <w:r>
              <w:rPr>
                <w:rFonts w:hint="eastAsia" w:ascii="宋体" w:hAnsi="宋体" w:cs="Times New Roman"/>
                <w:color w:val="auto"/>
                <w:szCs w:val="21"/>
                <w:highlight w:val="none"/>
                <w:lang w:val="en-US" w:eastAsia="zh-CN"/>
              </w:rPr>
              <w:t>遴选文件</w:t>
            </w:r>
            <w:r>
              <w:rPr>
                <w:rFonts w:hint="eastAsia" w:ascii="宋体" w:hAnsi="宋体" w:eastAsia="宋体" w:cs="Times New Roman"/>
                <w:color w:val="auto"/>
                <w:szCs w:val="21"/>
                <w:highlight w:val="none"/>
                <w:lang w:val="en-US" w:eastAsia="zh-CN"/>
              </w:rPr>
              <w:t>要求且经评审最高的下浮率为评标基准价。各</w:t>
            </w:r>
            <w:r>
              <w:rPr>
                <w:rFonts w:hint="eastAsia" w:ascii="宋体" w:hAnsi="宋体" w:cs="Times New Roman"/>
                <w:color w:val="auto"/>
                <w:szCs w:val="21"/>
                <w:highlight w:val="none"/>
                <w:lang w:val="en-US" w:eastAsia="zh-CN"/>
              </w:rPr>
              <w:t>响应服务商</w:t>
            </w:r>
            <w:r>
              <w:rPr>
                <w:rFonts w:hint="eastAsia" w:ascii="宋体" w:hAnsi="宋体" w:eastAsia="宋体" w:cs="Times New Roman"/>
                <w:color w:val="auto"/>
                <w:szCs w:val="21"/>
                <w:highlight w:val="none"/>
                <w:lang w:val="en-US" w:eastAsia="zh-CN"/>
              </w:rPr>
              <w:t>的价格评分按以下公式计算（价格评分四舍五入，小数点后保留两位有效数值），得出各有效</w:t>
            </w:r>
            <w:r>
              <w:rPr>
                <w:rFonts w:hint="eastAsia" w:ascii="宋体" w:hAnsi="宋体" w:cs="Times New Roman"/>
                <w:color w:val="auto"/>
                <w:szCs w:val="21"/>
                <w:highlight w:val="none"/>
                <w:lang w:val="en-US" w:eastAsia="zh-CN"/>
              </w:rPr>
              <w:t>响应服务商</w:t>
            </w:r>
            <w:r>
              <w:rPr>
                <w:rFonts w:hint="eastAsia" w:ascii="宋体" w:hAnsi="宋体" w:eastAsia="宋体" w:cs="Times New Roman"/>
                <w:color w:val="auto"/>
                <w:szCs w:val="21"/>
                <w:highlight w:val="none"/>
                <w:lang w:val="en-US" w:eastAsia="zh-CN"/>
              </w:rPr>
              <w:t>的价格评分：价格评分＝（评标价格(下浮率)/ 评标基准价）×</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lang w:val="en-US" w:eastAsia="zh-CN"/>
              </w:rPr>
              <w:t>0</w:t>
            </w:r>
          </w:p>
        </w:tc>
      </w:tr>
    </w:tbl>
    <w:p w14:paraId="7288697E">
      <w:pPr>
        <w:pStyle w:val="7"/>
        <w:rPr>
          <w:rFonts w:hint="eastAsia" w:ascii="宋体" w:hAnsi="宋体" w:eastAsia="宋体" w:cs="宋体"/>
          <w:sz w:val="24"/>
          <w:szCs w:val="24"/>
        </w:rPr>
      </w:pPr>
    </w:p>
    <w:p w14:paraId="2CB31C99">
      <w:pPr>
        <w:pStyle w:val="27"/>
        <w:rPr>
          <w:rFonts w:hint="eastAsia" w:ascii="宋体" w:hAnsi="宋体" w:eastAsia="宋体" w:cs="宋体"/>
          <w:color w:val="000000" w:themeColor="text1"/>
          <w:sz w:val="24"/>
          <w:szCs w:val="24"/>
          <w14:textFill>
            <w14:solidFill>
              <w14:schemeClr w14:val="tx1"/>
            </w14:solidFill>
          </w14:textFill>
        </w:rPr>
      </w:pPr>
    </w:p>
    <w:p w14:paraId="4CA1A27E">
      <w:pPr>
        <w:pStyle w:val="27"/>
        <w:rPr>
          <w:rFonts w:hint="eastAsia" w:ascii="宋体" w:hAnsi="宋体" w:eastAsia="宋体" w:cs="宋体"/>
          <w:color w:val="000000" w:themeColor="text1"/>
          <w:sz w:val="24"/>
          <w:szCs w:val="24"/>
          <w14:textFill>
            <w14:solidFill>
              <w14:schemeClr w14:val="tx1"/>
            </w14:solidFill>
          </w14:textFill>
        </w:rPr>
      </w:pPr>
    </w:p>
    <w:p w14:paraId="5DB860AC">
      <w:pPr>
        <w:pStyle w:val="27"/>
        <w:rPr>
          <w:rFonts w:hint="eastAsia" w:ascii="宋体" w:hAnsi="宋体" w:eastAsia="宋体" w:cs="宋体"/>
          <w:color w:val="000000" w:themeColor="text1"/>
          <w:sz w:val="24"/>
          <w:szCs w:val="24"/>
          <w14:textFill>
            <w14:solidFill>
              <w14:schemeClr w14:val="tx1"/>
            </w14:solidFill>
          </w14:textFill>
        </w:rPr>
      </w:pPr>
    </w:p>
    <w:p w14:paraId="066E1EC2">
      <w:pPr>
        <w:pStyle w:val="27"/>
        <w:rPr>
          <w:rFonts w:hint="eastAsia" w:ascii="宋体" w:hAnsi="宋体" w:eastAsia="宋体" w:cs="宋体"/>
          <w:color w:val="000000" w:themeColor="text1"/>
          <w:sz w:val="24"/>
          <w:szCs w:val="24"/>
          <w14:textFill>
            <w14:solidFill>
              <w14:schemeClr w14:val="tx1"/>
            </w14:solidFill>
          </w14:textFill>
        </w:rPr>
      </w:pPr>
    </w:p>
    <w:p w14:paraId="273E0436">
      <w:pPr>
        <w:pStyle w:val="27"/>
        <w:rPr>
          <w:rFonts w:hint="eastAsia" w:ascii="宋体" w:hAnsi="宋体" w:eastAsia="宋体" w:cs="宋体"/>
          <w:color w:val="000000" w:themeColor="text1"/>
          <w:sz w:val="24"/>
          <w:szCs w:val="24"/>
          <w14:textFill>
            <w14:solidFill>
              <w14:schemeClr w14:val="tx1"/>
            </w14:solidFill>
          </w14:textFill>
        </w:rPr>
      </w:pPr>
    </w:p>
    <w:p w14:paraId="28048C85">
      <w:pPr>
        <w:pStyle w:val="27"/>
        <w:rPr>
          <w:rFonts w:hint="eastAsia" w:ascii="宋体" w:hAnsi="宋体" w:eastAsia="宋体" w:cs="宋体"/>
          <w:color w:val="000000" w:themeColor="text1"/>
          <w:sz w:val="24"/>
          <w:szCs w:val="24"/>
          <w14:textFill>
            <w14:solidFill>
              <w14:schemeClr w14:val="tx1"/>
            </w14:solidFill>
          </w14:textFill>
        </w:rPr>
      </w:pPr>
    </w:p>
    <w:p w14:paraId="0073F4D6">
      <w:pPr>
        <w:pStyle w:val="27"/>
        <w:rPr>
          <w:rFonts w:hint="eastAsia" w:ascii="宋体" w:hAnsi="宋体" w:eastAsia="宋体" w:cs="宋体"/>
          <w:color w:val="000000" w:themeColor="text1"/>
          <w:sz w:val="24"/>
          <w:szCs w:val="24"/>
          <w14:textFill>
            <w14:solidFill>
              <w14:schemeClr w14:val="tx1"/>
            </w14:solidFill>
          </w14:textFill>
        </w:rPr>
      </w:pPr>
    </w:p>
    <w:p w14:paraId="627735DF">
      <w:pPr>
        <w:pStyle w:val="27"/>
        <w:rPr>
          <w:rFonts w:hint="eastAsia" w:ascii="宋体" w:hAnsi="宋体" w:eastAsia="宋体" w:cs="宋体"/>
          <w:color w:val="000000" w:themeColor="text1"/>
          <w:sz w:val="24"/>
          <w:szCs w:val="24"/>
          <w14:textFill>
            <w14:solidFill>
              <w14:schemeClr w14:val="tx1"/>
            </w14:solidFill>
          </w14:textFill>
        </w:rPr>
      </w:pPr>
    </w:p>
    <w:p w14:paraId="509980BE">
      <w:pPr>
        <w:pStyle w:val="27"/>
        <w:rPr>
          <w:rFonts w:hint="eastAsia" w:ascii="宋体" w:hAnsi="宋体" w:eastAsia="宋体" w:cs="宋体"/>
          <w:color w:val="000000" w:themeColor="text1"/>
          <w:sz w:val="24"/>
          <w:szCs w:val="24"/>
          <w14:textFill>
            <w14:solidFill>
              <w14:schemeClr w14:val="tx1"/>
            </w14:solidFill>
          </w14:textFill>
        </w:rPr>
      </w:pPr>
    </w:p>
    <w:p w14:paraId="414FE1E1">
      <w:pPr>
        <w:pStyle w:val="27"/>
        <w:rPr>
          <w:rFonts w:hint="eastAsia" w:ascii="宋体" w:hAnsi="宋体" w:eastAsia="宋体" w:cs="宋体"/>
          <w:color w:val="000000" w:themeColor="text1"/>
          <w:sz w:val="24"/>
          <w:szCs w:val="24"/>
          <w14:textFill>
            <w14:solidFill>
              <w14:schemeClr w14:val="tx1"/>
            </w14:solidFill>
          </w14:textFill>
        </w:rPr>
      </w:pPr>
    </w:p>
    <w:p w14:paraId="3C245BD7">
      <w:pPr>
        <w:pStyle w:val="27"/>
        <w:rPr>
          <w:rFonts w:hint="eastAsia" w:ascii="宋体" w:hAnsi="宋体" w:eastAsia="宋体" w:cs="宋体"/>
          <w:color w:val="000000" w:themeColor="text1"/>
          <w:sz w:val="24"/>
          <w:szCs w:val="24"/>
          <w14:textFill>
            <w14:solidFill>
              <w14:schemeClr w14:val="tx1"/>
            </w14:solidFill>
          </w14:textFill>
        </w:rPr>
      </w:pPr>
    </w:p>
    <w:p w14:paraId="0A145F02">
      <w:pPr>
        <w:pStyle w:val="27"/>
        <w:rPr>
          <w:rFonts w:hint="eastAsia" w:ascii="宋体" w:hAnsi="宋体" w:eastAsia="宋体" w:cs="宋体"/>
          <w:color w:val="000000" w:themeColor="text1"/>
          <w:sz w:val="24"/>
          <w:szCs w:val="24"/>
          <w14:textFill>
            <w14:solidFill>
              <w14:schemeClr w14:val="tx1"/>
            </w14:solidFill>
          </w14:textFill>
        </w:rPr>
      </w:pPr>
    </w:p>
    <w:p w14:paraId="439093C4">
      <w:pPr>
        <w:pStyle w:val="27"/>
        <w:rPr>
          <w:rFonts w:hint="eastAsia" w:ascii="宋体" w:hAnsi="宋体" w:eastAsia="宋体" w:cs="宋体"/>
          <w:color w:val="000000" w:themeColor="text1"/>
          <w:sz w:val="24"/>
          <w:szCs w:val="24"/>
          <w14:textFill>
            <w14:solidFill>
              <w14:schemeClr w14:val="tx1"/>
            </w14:solidFill>
          </w14:textFill>
        </w:rPr>
      </w:pPr>
    </w:p>
    <w:p w14:paraId="727AF971">
      <w:pPr>
        <w:rPr>
          <w:rFonts w:hint="eastAsia" w:ascii="宋体" w:hAnsi="宋体" w:eastAsia="宋体" w:cs="宋体"/>
          <w:color w:val="000000" w:themeColor="text1"/>
          <w:sz w:val="24"/>
          <w:szCs w:val="24"/>
          <w14:textFill>
            <w14:solidFill>
              <w14:schemeClr w14:val="tx1"/>
            </w14:solidFill>
          </w14:textFill>
        </w:rPr>
      </w:pPr>
    </w:p>
    <w:p w14:paraId="219F07E7">
      <w:pPr>
        <w:pStyle w:val="7"/>
        <w:rPr>
          <w:rFonts w:hint="eastAsia" w:ascii="宋体" w:hAnsi="宋体" w:eastAsia="宋体" w:cs="宋体"/>
          <w:color w:val="000000" w:themeColor="text1"/>
          <w:sz w:val="24"/>
          <w:szCs w:val="24"/>
          <w14:textFill>
            <w14:solidFill>
              <w14:schemeClr w14:val="tx1"/>
            </w14:solidFill>
          </w14:textFill>
        </w:rPr>
      </w:pPr>
    </w:p>
    <w:p w14:paraId="49464B9D">
      <w:pPr>
        <w:pStyle w:val="8"/>
        <w:rPr>
          <w:rFonts w:hint="eastAsia" w:ascii="宋体" w:hAnsi="宋体" w:eastAsia="宋体" w:cs="宋体"/>
          <w:color w:val="000000" w:themeColor="text1"/>
          <w:sz w:val="24"/>
          <w:szCs w:val="24"/>
          <w14:textFill>
            <w14:solidFill>
              <w14:schemeClr w14:val="tx1"/>
            </w14:solidFill>
          </w14:textFill>
        </w:rPr>
      </w:pPr>
    </w:p>
    <w:p w14:paraId="0C50181D">
      <w:pPr>
        <w:rPr>
          <w:rFonts w:hint="eastAsia" w:ascii="宋体" w:hAnsi="宋体" w:eastAsia="宋体" w:cs="宋体"/>
          <w:color w:val="000000" w:themeColor="text1"/>
          <w:sz w:val="24"/>
          <w:szCs w:val="24"/>
          <w14:textFill>
            <w14:solidFill>
              <w14:schemeClr w14:val="tx1"/>
            </w14:solidFill>
          </w14:textFill>
        </w:rPr>
      </w:pPr>
    </w:p>
    <w:p w14:paraId="7B9EE1B7">
      <w:pPr>
        <w:pStyle w:val="7"/>
        <w:rPr>
          <w:rFonts w:hint="eastAsia" w:ascii="宋体" w:hAnsi="宋体" w:eastAsia="宋体" w:cs="宋体"/>
        </w:rPr>
      </w:pPr>
    </w:p>
    <w:p w14:paraId="27F64553">
      <w:pPr>
        <w:pStyle w:val="2"/>
        <w:bidi w:val="0"/>
        <w:jc w:val="center"/>
        <w:rPr>
          <w:rFonts w:hint="eastAsia" w:ascii="宋体" w:hAnsi="宋体" w:eastAsia="宋体" w:cs="宋体"/>
          <w:color w:val="auto"/>
          <w:highlight w:val="none"/>
        </w:rPr>
      </w:pPr>
    </w:p>
    <w:p w14:paraId="5BB4B54F">
      <w:pPr>
        <w:pStyle w:val="2"/>
        <w:bidi w:val="0"/>
        <w:jc w:val="center"/>
        <w:rPr>
          <w:rFonts w:hint="eastAsia" w:ascii="宋体" w:hAnsi="宋体" w:eastAsia="宋体" w:cs="宋体"/>
          <w:color w:val="auto"/>
          <w:highlight w:val="none"/>
        </w:rPr>
      </w:pPr>
    </w:p>
    <w:p w14:paraId="41318BD0">
      <w:pPr>
        <w:rPr>
          <w:rFonts w:hint="eastAsia" w:ascii="宋体" w:hAnsi="宋体" w:eastAsia="宋体" w:cs="宋体"/>
          <w:color w:val="auto"/>
          <w:highlight w:val="none"/>
        </w:rPr>
      </w:pPr>
    </w:p>
    <w:p w14:paraId="51822890">
      <w:pPr>
        <w:rPr>
          <w:rFonts w:hint="eastAsia" w:ascii="宋体" w:hAnsi="宋体" w:eastAsia="宋体" w:cs="宋体"/>
          <w:color w:val="auto"/>
          <w:highlight w:val="none"/>
        </w:rPr>
      </w:pPr>
    </w:p>
    <w:p w14:paraId="618BC3BC">
      <w:pPr>
        <w:rPr>
          <w:rFonts w:hint="eastAsia"/>
        </w:rPr>
      </w:pPr>
    </w:p>
    <w:p w14:paraId="5AFF6326">
      <w:pPr>
        <w:pStyle w:val="2"/>
        <w:bidi w:val="0"/>
        <w:jc w:val="both"/>
        <w:rPr>
          <w:rFonts w:hint="eastAsia" w:ascii="宋体" w:hAnsi="宋体" w:eastAsia="宋体" w:cs="宋体"/>
          <w:color w:val="auto"/>
          <w:highlight w:val="none"/>
        </w:rPr>
      </w:pPr>
    </w:p>
    <w:p w14:paraId="2B90733C">
      <w:pPr>
        <w:pStyle w:val="2"/>
        <w:bidi w:val="0"/>
        <w:ind w:firstLine="2209" w:firstLineChars="500"/>
        <w:jc w:val="both"/>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部分　</w:t>
      </w:r>
      <w:r>
        <w:rPr>
          <w:rFonts w:hint="eastAsia" w:ascii="宋体" w:hAnsi="宋体" w:eastAsia="宋体" w:cs="宋体"/>
          <w:color w:val="auto"/>
          <w:highlight w:val="none"/>
          <w:lang w:val="en-US" w:eastAsia="zh-CN"/>
        </w:rPr>
        <w:t>响应文件模版</w:t>
      </w:r>
    </w:p>
    <w:p w14:paraId="61CA91AB">
      <w:pPr>
        <w:rPr>
          <w:rFonts w:hint="eastAsia" w:ascii="宋体" w:hAnsi="宋体" w:eastAsia="宋体" w:cs="宋体"/>
        </w:rPr>
      </w:pPr>
    </w:p>
    <w:p w14:paraId="41A32A96">
      <w:pPr>
        <w:rPr>
          <w:rFonts w:hint="eastAsia" w:ascii="宋体" w:hAnsi="宋体" w:eastAsia="宋体" w:cs="宋体"/>
          <w:sz w:val="24"/>
          <w:szCs w:val="24"/>
        </w:rPr>
      </w:pPr>
    </w:p>
    <w:p w14:paraId="1C536B78">
      <w:pPr>
        <w:pStyle w:val="7"/>
        <w:rPr>
          <w:rFonts w:hint="eastAsia" w:ascii="宋体" w:hAnsi="宋体" w:eastAsia="宋体" w:cs="宋体"/>
          <w:sz w:val="24"/>
          <w:szCs w:val="24"/>
        </w:rPr>
      </w:pPr>
    </w:p>
    <w:p w14:paraId="74FEFCF3">
      <w:pPr>
        <w:pStyle w:val="8"/>
        <w:rPr>
          <w:rFonts w:hint="eastAsia" w:ascii="宋体" w:hAnsi="宋体" w:eastAsia="宋体" w:cs="宋体"/>
          <w:sz w:val="24"/>
          <w:szCs w:val="24"/>
        </w:rPr>
      </w:pPr>
    </w:p>
    <w:p w14:paraId="0CDF42A2">
      <w:pPr>
        <w:rPr>
          <w:rFonts w:hint="eastAsia" w:ascii="宋体" w:hAnsi="宋体" w:eastAsia="宋体" w:cs="宋体"/>
          <w:sz w:val="24"/>
          <w:szCs w:val="24"/>
        </w:rPr>
      </w:pPr>
    </w:p>
    <w:p w14:paraId="3248C93D">
      <w:pPr>
        <w:rPr>
          <w:rFonts w:hint="eastAsia" w:ascii="宋体" w:hAnsi="宋体" w:eastAsia="宋体" w:cs="宋体"/>
          <w:sz w:val="24"/>
          <w:szCs w:val="24"/>
        </w:rPr>
      </w:pPr>
    </w:p>
    <w:p w14:paraId="23E3A5BB">
      <w:pPr>
        <w:rPr>
          <w:rFonts w:hint="eastAsia" w:ascii="宋体" w:hAnsi="宋体" w:eastAsia="宋体" w:cs="宋体"/>
          <w:sz w:val="24"/>
          <w:szCs w:val="24"/>
        </w:rPr>
      </w:pPr>
    </w:p>
    <w:p w14:paraId="1EBD10EF">
      <w:pPr>
        <w:rPr>
          <w:rFonts w:hint="eastAsia" w:ascii="宋体" w:hAnsi="宋体" w:eastAsia="宋体" w:cs="宋体"/>
          <w:sz w:val="24"/>
          <w:szCs w:val="24"/>
        </w:rPr>
      </w:pPr>
    </w:p>
    <w:p w14:paraId="1AD5E766">
      <w:pPr>
        <w:pStyle w:val="7"/>
        <w:rPr>
          <w:rFonts w:hint="eastAsia" w:ascii="宋体" w:hAnsi="宋体" w:eastAsia="宋体" w:cs="宋体"/>
          <w:sz w:val="24"/>
          <w:szCs w:val="24"/>
        </w:rPr>
      </w:pPr>
    </w:p>
    <w:p w14:paraId="39568B75">
      <w:pPr>
        <w:pStyle w:val="8"/>
        <w:rPr>
          <w:rFonts w:hint="eastAsia" w:ascii="宋体" w:hAnsi="宋体" w:eastAsia="宋体" w:cs="宋体"/>
          <w:sz w:val="24"/>
          <w:szCs w:val="24"/>
        </w:rPr>
      </w:pPr>
    </w:p>
    <w:p w14:paraId="03D5D690">
      <w:pPr>
        <w:rPr>
          <w:rFonts w:hint="eastAsia" w:ascii="宋体" w:hAnsi="宋体" w:eastAsia="宋体" w:cs="宋体"/>
          <w:sz w:val="24"/>
          <w:szCs w:val="24"/>
        </w:rPr>
      </w:pPr>
    </w:p>
    <w:p w14:paraId="591B5DFC">
      <w:pPr>
        <w:rPr>
          <w:rFonts w:hint="eastAsia" w:ascii="宋体" w:hAnsi="宋体" w:eastAsia="宋体" w:cs="宋体"/>
          <w:sz w:val="24"/>
          <w:szCs w:val="24"/>
        </w:rPr>
      </w:pPr>
    </w:p>
    <w:p w14:paraId="46DC0516">
      <w:pPr>
        <w:pStyle w:val="7"/>
        <w:rPr>
          <w:rFonts w:hint="eastAsia" w:ascii="宋体" w:hAnsi="宋体" w:eastAsia="宋体" w:cs="宋体"/>
          <w:sz w:val="24"/>
          <w:szCs w:val="24"/>
        </w:rPr>
      </w:pPr>
    </w:p>
    <w:p w14:paraId="4E4B6684">
      <w:pPr>
        <w:pStyle w:val="7"/>
        <w:rPr>
          <w:rFonts w:hint="eastAsia" w:ascii="宋体" w:hAnsi="宋体" w:eastAsia="宋体" w:cs="宋体"/>
          <w:sz w:val="24"/>
          <w:szCs w:val="24"/>
        </w:rPr>
      </w:pPr>
    </w:p>
    <w:p w14:paraId="51FA706E">
      <w:pPr>
        <w:rPr>
          <w:rFonts w:hint="eastAsia" w:ascii="宋体" w:hAnsi="宋体" w:eastAsia="宋体" w:cs="宋体"/>
          <w:sz w:val="24"/>
          <w:szCs w:val="24"/>
        </w:rPr>
      </w:pPr>
    </w:p>
    <w:p w14:paraId="1EA349E7">
      <w:pPr>
        <w:rPr>
          <w:rFonts w:hint="eastAsia" w:ascii="宋体" w:hAnsi="宋体" w:eastAsia="宋体" w:cs="宋体"/>
          <w:sz w:val="24"/>
          <w:szCs w:val="24"/>
        </w:rPr>
      </w:pPr>
    </w:p>
    <w:p w14:paraId="6A047A4C">
      <w:pPr>
        <w:rPr>
          <w:rFonts w:hint="eastAsia" w:ascii="宋体" w:hAnsi="宋体" w:eastAsia="宋体" w:cs="宋体"/>
          <w:sz w:val="24"/>
          <w:szCs w:val="24"/>
        </w:rPr>
      </w:pPr>
    </w:p>
    <w:p w14:paraId="1994A811">
      <w:pPr>
        <w:rPr>
          <w:rFonts w:hint="eastAsia" w:ascii="宋体" w:hAnsi="宋体" w:eastAsia="宋体" w:cs="宋体"/>
          <w:sz w:val="24"/>
          <w:szCs w:val="24"/>
        </w:rPr>
      </w:pPr>
    </w:p>
    <w:p w14:paraId="52EB10E0">
      <w:pPr>
        <w:rPr>
          <w:rFonts w:hint="eastAsia" w:ascii="宋体" w:hAnsi="宋体" w:eastAsia="宋体" w:cs="宋体"/>
          <w:sz w:val="24"/>
          <w:szCs w:val="24"/>
        </w:rPr>
      </w:pPr>
    </w:p>
    <w:p w14:paraId="32BA7F37">
      <w:pPr>
        <w:rPr>
          <w:rFonts w:hint="eastAsia" w:ascii="宋体" w:hAnsi="宋体" w:eastAsia="宋体" w:cs="宋体"/>
          <w:sz w:val="24"/>
          <w:szCs w:val="24"/>
        </w:rPr>
      </w:pPr>
    </w:p>
    <w:p w14:paraId="5C963775">
      <w:pPr>
        <w:rPr>
          <w:rFonts w:hint="eastAsia" w:ascii="宋体" w:hAnsi="宋体" w:eastAsia="宋体" w:cs="宋体"/>
          <w:sz w:val="24"/>
          <w:szCs w:val="24"/>
        </w:rPr>
      </w:pPr>
    </w:p>
    <w:p w14:paraId="6BCABD80">
      <w:pPr>
        <w:rPr>
          <w:rFonts w:hint="eastAsia" w:ascii="宋体" w:hAnsi="宋体" w:eastAsia="宋体" w:cs="宋体"/>
          <w:sz w:val="24"/>
          <w:szCs w:val="24"/>
        </w:rPr>
      </w:pPr>
    </w:p>
    <w:p w14:paraId="24EB3777">
      <w:pPr>
        <w:rPr>
          <w:rFonts w:hint="eastAsia" w:ascii="宋体" w:hAnsi="宋体" w:eastAsia="宋体" w:cs="宋体"/>
          <w:sz w:val="24"/>
          <w:szCs w:val="24"/>
        </w:rPr>
      </w:pPr>
    </w:p>
    <w:p w14:paraId="21DB18BF">
      <w:pPr>
        <w:spacing w:line="360" w:lineRule="auto"/>
        <w:jc w:val="center"/>
        <w:outlineLvl w:val="1"/>
        <w:rPr>
          <w:rStyle w:val="33"/>
          <w:rFonts w:hint="default" w:ascii="宋体" w:hAnsi="宋体" w:eastAsia="宋体" w:cs="宋体"/>
          <w:b/>
          <w:bCs/>
          <w:sz w:val="48"/>
          <w:szCs w:val="48"/>
          <w:lang w:val="en-US" w:eastAsia="zh-CN"/>
        </w:rPr>
      </w:pPr>
      <w:r>
        <w:rPr>
          <w:rStyle w:val="33"/>
          <w:rFonts w:hint="eastAsia" w:ascii="宋体" w:hAnsi="宋体" w:eastAsia="宋体" w:cs="宋体"/>
          <w:b/>
          <w:bCs/>
          <w:sz w:val="48"/>
          <w:szCs w:val="48"/>
          <w:lang w:val="en-US" w:eastAsia="zh-CN"/>
        </w:rPr>
        <w:t>中山市小榄人民医院食堂经营遴选项目</w:t>
      </w:r>
    </w:p>
    <w:p w14:paraId="01B9AF3C">
      <w:pPr>
        <w:spacing w:line="360" w:lineRule="auto"/>
        <w:jc w:val="center"/>
        <w:outlineLvl w:val="1"/>
        <w:rPr>
          <w:rStyle w:val="33"/>
          <w:rFonts w:hint="eastAsia" w:ascii="宋体" w:hAnsi="宋体" w:eastAsia="宋体" w:cs="宋体"/>
          <w:b/>
          <w:bCs/>
          <w:sz w:val="48"/>
          <w:szCs w:val="48"/>
          <w:lang w:val="en-US" w:eastAsia="zh-CN"/>
        </w:rPr>
      </w:pPr>
      <w:r>
        <w:rPr>
          <w:rStyle w:val="33"/>
          <w:rFonts w:hint="eastAsia" w:ascii="宋体" w:hAnsi="宋体" w:eastAsia="宋体" w:cs="宋体"/>
          <w:b/>
          <w:bCs/>
          <w:sz w:val="48"/>
          <w:szCs w:val="48"/>
          <w:lang w:val="en-US" w:eastAsia="zh-CN"/>
        </w:rPr>
        <w:t>响应文件</w:t>
      </w:r>
    </w:p>
    <w:p w14:paraId="6B1006CF">
      <w:pPr>
        <w:spacing w:line="360" w:lineRule="auto"/>
        <w:jc w:val="center"/>
        <w:outlineLvl w:val="1"/>
        <w:rPr>
          <w:rStyle w:val="33"/>
          <w:rFonts w:hint="eastAsia" w:ascii="宋体" w:hAnsi="宋体" w:eastAsia="宋体" w:cs="宋体"/>
          <w:b/>
          <w:bCs/>
          <w:sz w:val="48"/>
          <w:szCs w:val="48"/>
          <w:lang w:val="en-US" w:eastAsia="zh-CN"/>
        </w:rPr>
      </w:pPr>
    </w:p>
    <w:p w14:paraId="303BAA72">
      <w:pPr>
        <w:spacing w:line="360" w:lineRule="auto"/>
        <w:jc w:val="center"/>
        <w:outlineLvl w:val="1"/>
        <w:rPr>
          <w:rStyle w:val="33"/>
          <w:rFonts w:hint="default" w:ascii="宋体" w:hAnsi="宋体" w:eastAsia="宋体" w:cs="宋体"/>
          <w:b/>
          <w:bCs/>
          <w:sz w:val="24"/>
          <w:szCs w:val="24"/>
          <w:lang w:val="en-US" w:eastAsia="zh-CN"/>
        </w:rPr>
      </w:pPr>
      <w:r>
        <w:rPr>
          <w:rStyle w:val="33"/>
          <w:rFonts w:hint="eastAsia" w:ascii="宋体" w:hAnsi="宋体" w:eastAsia="宋体" w:cs="宋体"/>
          <w:b/>
          <w:bCs/>
          <w:sz w:val="24"/>
          <w:szCs w:val="24"/>
          <w:lang w:val="en-US" w:eastAsia="zh-CN"/>
        </w:rPr>
        <w:t>项目编号：XLYY20250356</w:t>
      </w:r>
    </w:p>
    <w:p w14:paraId="126C796B">
      <w:pPr>
        <w:spacing w:line="360" w:lineRule="auto"/>
        <w:jc w:val="center"/>
        <w:outlineLvl w:val="1"/>
        <w:rPr>
          <w:rStyle w:val="33"/>
          <w:rFonts w:hint="eastAsia" w:ascii="宋体" w:hAnsi="宋体" w:eastAsia="宋体" w:cs="宋体"/>
          <w:b/>
          <w:bCs/>
          <w:sz w:val="32"/>
          <w:szCs w:val="28"/>
        </w:rPr>
      </w:pPr>
    </w:p>
    <w:p w14:paraId="79075DF0">
      <w:pPr>
        <w:spacing w:line="360" w:lineRule="auto"/>
        <w:jc w:val="center"/>
        <w:outlineLvl w:val="1"/>
        <w:rPr>
          <w:rStyle w:val="33"/>
          <w:rFonts w:hint="eastAsia" w:ascii="宋体" w:hAnsi="宋体" w:eastAsia="宋体" w:cs="宋体"/>
          <w:b/>
          <w:bCs/>
          <w:sz w:val="32"/>
          <w:szCs w:val="28"/>
        </w:rPr>
      </w:pPr>
    </w:p>
    <w:p w14:paraId="198811E8">
      <w:pPr>
        <w:spacing w:line="360" w:lineRule="auto"/>
        <w:jc w:val="center"/>
        <w:outlineLvl w:val="1"/>
        <w:rPr>
          <w:rStyle w:val="33"/>
          <w:rFonts w:hint="eastAsia" w:ascii="宋体" w:hAnsi="宋体" w:eastAsia="宋体" w:cs="宋体"/>
          <w:b/>
          <w:bCs/>
          <w:sz w:val="32"/>
          <w:szCs w:val="28"/>
        </w:rPr>
      </w:pPr>
    </w:p>
    <w:p w14:paraId="4C0A7282">
      <w:pPr>
        <w:spacing w:line="360" w:lineRule="auto"/>
        <w:jc w:val="center"/>
        <w:outlineLvl w:val="1"/>
        <w:rPr>
          <w:rStyle w:val="33"/>
          <w:rFonts w:hint="eastAsia" w:ascii="宋体" w:hAnsi="宋体" w:eastAsia="宋体" w:cs="宋体"/>
          <w:b/>
          <w:bCs/>
          <w:sz w:val="32"/>
          <w:szCs w:val="28"/>
        </w:rPr>
      </w:pPr>
    </w:p>
    <w:p w14:paraId="4ADDBCC0">
      <w:pPr>
        <w:spacing w:line="360" w:lineRule="auto"/>
        <w:jc w:val="center"/>
        <w:outlineLvl w:val="1"/>
        <w:rPr>
          <w:rStyle w:val="33"/>
          <w:rFonts w:hint="eastAsia" w:ascii="宋体" w:hAnsi="宋体" w:eastAsia="宋体" w:cs="宋体"/>
          <w:b/>
          <w:bCs/>
          <w:sz w:val="32"/>
          <w:szCs w:val="28"/>
        </w:rPr>
      </w:pPr>
    </w:p>
    <w:p w14:paraId="42ED3908">
      <w:pPr>
        <w:spacing w:line="360" w:lineRule="auto"/>
        <w:ind w:firstLine="1680" w:firstLineChars="700"/>
        <w:jc w:val="both"/>
        <w:outlineLvl w:val="1"/>
        <w:rPr>
          <w:rStyle w:val="33"/>
          <w:rFonts w:hint="eastAsia" w:ascii="宋体" w:hAnsi="宋体" w:eastAsia="宋体" w:cs="宋体"/>
          <w:b w:val="0"/>
          <w:bCs w:val="0"/>
          <w:sz w:val="24"/>
          <w:szCs w:val="24"/>
          <w:u w:val="single"/>
          <w:lang w:val="en-US" w:eastAsia="zh-CN"/>
        </w:rPr>
      </w:pPr>
      <w:r>
        <w:rPr>
          <w:rStyle w:val="33"/>
          <w:rFonts w:hint="eastAsia" w:ascii="宋体" w:hAnsi="宋体" w:eastAsia="宋体" w:cs="宋体"/>
          <w:b w:val="0"/>
          <w:bCs w:val="0"/>
          <w:sz w:val="24"/>
          <w:szCs w:val="24"/>
          <w:lang w:val="en-US" w:eastAsia="zh-CN"/>
        </w:rPr>
        <w:t>报名单位：</w:t>
      </w:r>
    </w:p>
    <w:p w14:paraId="7BD1A96D">
      <w:pPr>
        <w:spacing w:line="360" w:lineRule="auto"/>
        <w:ind w:firstLine="1680" w:firstLineChars="700"/>
        <w:jc w:val="both"/>
        <w:outlineLvl w:val="1"/>
        <w:rPr>
          <w:rStyle w:val="33"/>
          <w:rFonts w:hint="eastAsia" w:ascii="宋体" w:hAnsi="宋体" w:eastAsia="宋体" w:cs="宋体"/>
          <w:b w:val="0"/>
          <w:bCs w:val="0"/>
          <w:sz w:val="24"/>
          <w:szCs w:val="24"/>
          <w:lang w:val="en-US" w:eastAsia="zh-CN"/>
        </w:rPr>
      </w:pPr>
      <w:r>
        <w:rPr>
          <w:rStyle w:val="33"/>
          <w:rFonts w:hint="eastAsia" w:ascii="宋体" w:hAnsi="宋体" w:eastAsia="宋体" w:cs="宋体"/>
          <w:b w:val="0"/>
          <w:bCs w:val="0"/>
          <w:sz w:val="24"/>
          <w:szCs w:val="24"/>
          <w:lang w:val="en-US" w:eastAsia="zh-CN"/>
        </w:rPr>
        <w:t>联系人：</w:t>
      </w:r>
    </w:p>
    <w:p w14:paraId="69F53D91">
      <w:pPr>
        <w:spacing w:line="360" w:lineRule="auto"/>
        <w:ind w:firstLine="1680" w:firstLineChars="700"/>
        <w:jc w:val="both"/>
        <w:outlineLvl w:val="1"/>
        <w:rPr>
          <w:rStyle w:val="33"/>
          <w:rFonts w:hint="eastAsia" w:ascii="宋体" w:hAnsi="宋体" w:eastAsia="宋体" w:cs="宋体"/>
          <w:b w:val="0"/>
          <w:bCs w:val="0"/>
          <w:sz w:val="24"/>
          <w:szCs w:val="24"/>
          <w:lang w:val="en-US" w:eastAsia="zh-CN"/>
        </w:rPr>
      </w:pPr>
      <w:r>
        <w:rPr>
          <w:rStyle w:val="33"/>
          <w:rFonts w:hint="eastAsia" w:ascii="宋体" w:hAnsi="宋体" w:eastAsia="宋体" w:cs="宋体"/>
          <w:b w:val="0"/>
          <w:bCs w:val="0"/>
          <w:sz w:val="24"/>
          <w:szCs w:val="24"/>
          <w:lang w:val="en-US" w:eastAsia="zh-CN"/>
        </w:rPr>
        <w:t>联系电话：</w:t>
      </w:r>
    </w:p>
    <w:p w14:paraId="26E78458">
      <w:pPr>
        <w:spacing w:line="360" w:lineRule="auto"/>
        <w:ind w:firstLine="1680" w:firstLineChars="700"/>
        <w:jc w:val="both"/>
        <w:outlineLvl w:val="1"/>
        <w:rPr>
          <w:rFonts w:hint="eastAsia" w:ascii="宋体" w:hAnsi="宋体" w:eastAsia="宋体" w:cs="宋体"/>
          <w:b/>
          <w:bCs/>
          <w:sz w:val="24"/>
          <w:szCs w:val="24"/>
          <w:u w:val="none"/>
          <w:lang w:val="en-US" w:eastAsia="zh-CN"/>
        </w:rPr>
        <w:sectPr>
          <w:headerReference r:id="rId3" w:type="default"/>
          <w:footerReference r:id="rId4" w:type="default"/>
          <w:pgSz w:w="11900" w:h="16840"/>
          <w:pgMar w:top="1440" w:right="1800" w:bottom="1440" w:left="1800" w:header="0" w:footer="567" w:gutter="0"/>
          <w:pgNumType w:start="1"/>
          <w:cols w:space="720" w:num="1"/>
        </w:sectPr>
      </w:pPr>
      <w:r>
        <w:rPr>
          <w:rStyle w:val="33"/>
          <w:rFonts w:hint="eastAsia" w:ascii="宋体" w:hAnsi="宋体" w:eastAsia="宋体" w:cs="宋体"/>
          <w:b w:val="0"/>
          <w:bCs w:val="0"/>
          <w:sz w:val="24"/>
          <w:szCs w:val="24"/>
          <w:lang w:val="en-US" w:eastAsia="zh-CN"/>
        </w:rPr>
        <w:t>邮箱：</w:t>
      </w:r>
    </w:p>
    <w:p w14:paraId="2593FA25">
      <w:pPr>
        <w:spacing w:line="360" w:lineRule="auto"/>
        <w:jc w:val="left"/>
        <w:outlineLvl w:val="1"/>
        <w:rPr>
          <w:rStyle w:val="33"/>
          <w:rFonts w:hint="default" w:ascii="宋体" w:hAnsi="宋体" w:eastAsia="宋体" w:cs="宋体"/>
          <w:b/>
          <w:bCs/>
          <w:sz w:val="21"/>
          <w:szCs w:val="21"/>
          <w:lang w:val="en-US" w:eastAsia="zh-CN"/>
        </w:rPr>
      </w:pPr>
      <w:r>
        <w:rPr>
          <w:rStyle w:val="33"/>
          <w:rFonts w:hint="eastAsia" w:ascii="宋体" w:hAnsi="宋体" w:eastAsia="宋体" w:cs="宋体"/>
          <w:b/>
          <w:bCs/>
          <w:sz w:val="21"/>
          <w:szCs w:val="21"/>
          <w:lang w:val="en-US" w:eastAsia="zh-CN"/>
        </w:rPr>
        <w:t>一、承诺函</w:t>
      </w:r>
    </w:p>
    <w:p w14:paraId="1234E7BE">
      <w:pPr>
        <w:spacing w:line="360" w:lineRule="auto"/>
        <w:jc w:val="center"/>
        <w:outlineLvl w:val="1"/>
        <w:rPr>
          <w:rStyle w:val="33"/>
          <w:rFonts w:hint="eastAsia" w:ascii="宋体" w:hAnsi="宋体" w:eastAsia="宋体" w:cs="宋体"/>
          <w:b/>
          <w:bCs/>
          <w:sz w:val="28"/>
          <w:szCs w:val="28"/>
        </w:rPr>
      </w:pPr>
      <w:r>
        <w:rPr>
          <w:rStyle w:val="33"/>
          <w:rFonts w:hint="eastAsia" w:ascii="宋体" w:hAnsi="宋体" w:eastAsia="宋体" w:cs="宋体"/>
          <w:b/>
          <w:bCs/>
          <w:sz w:val="28"/>
          <w:szCs w:val="28"/>
        </w:rPr>
        <w:t>承诺函</w:t>
      </w:r>
    </w:p>
    <w:p w14:paraId="4CE3C69E">
      <w:pPr>
        <w:pStyle w:val="7"/>
        <w:spacing w:line="360" w:lineRule="auto"/>
        <w:rPr>
          <w:rFonts w:hint="eastAsia" w:ascii="宋体" w:hAnsi="宋体" w:eastAsia="宋体" w:cs="宋体"/>
        </w:rPr>
      </w:pPr>
    </w:p>
    <w:p w14:paraId="1DDD2A6B">
      <w:pPr>
        <w:spacing w:line="360" w:lineRule="auto"/>
        <w:rPr>
          <w:rFonts w:hint="eastAsia" w:ascii="宋体" w:hAnsi="宋体" w:eastAsia="宋体" w:cs="宋体"/>
          <w:sz w:val="24"/>
        </w:rPr>
      </w:pPr>
      <w:r>
        <w:rPr>
          <w:rFonts w:hint="eastAsia" w:ascii="宋体" w:hAnsi="宋体" w:eastAsia="宋体" w:cs="宋体"/>
          <w:sz w:val="24"/>
        </w:rPr>
        <w:t>致中山市</w:t>
      </w:r>
      <w:r>
        <w:rPr>
          <w:rFonts w:hint="eastAsia" w:ascii="宋体" w:hAnsi="宋体" w:eastAsia="宋体" w:cs="宋体"/>
          <w:sz w:val="24"/>
          <w:lang w:val="en-US" w:eastAsia="zh-CN"/>
        </w:rPr>
        <w:t>小榄</w:t>
      </w:r>
      <w:r>
        <w:rPr>
          <w:rFonts w:hint="eastAsia" w:ascii="宋体" w:hAnsi="宋体" w:eastAsia="宋体" w:cs="宋体"/>
          <w:sz w:val="24"/>
        </w:rPr>
        <w:t>人民医院：</w:t>
      </w:r>
    </w:p>
    <w:p w14:paraId="5D6A1554">
      <w:pPr>
        <w:spacing w:line="360" w:lineRule="auto"/>
        <w:ind w:firstLine="480" w:firstLineChars="200"/>
        <w:jc w:val="left"/>
        <w:outlineLvl w:val="1"/>
        <w:rPr>
          <w:rFonts w:hint="eastAsia" w:ascii="宋体" w:hAnsi="宋体" w:eastAsia="宋体" w:cs="宋体"/>
          <w:sz w:val="24"/>
        </w:rPr>
      </w:pPr>
      <w:r>
        <w:rPr>
          <w:rFonts w:hint="eastAsia" w:ascii="宋体" w:hAnsi="宋体" w:eastAsia="宋体" w:cs="宋体"/>
          <w:sz w:val="24"/>
        </w:rPr>
        <w:t>本公司</w:t>
      </w:r>
      <w:r>
        <w:rPr>
          <w:rFonts w:hint="eastAsia" w:ascii="宋体" w:hAnsi="宋体" w:eastAsia="宋体" w:cs="宋体"/>
          <w:sz w:val="24"/>
          <w:u w:val="single"/>
        </w:rPr>
        <w:t xml:space="preserve">                   </w:t>
      </w:r>
      <w:r>
        <w:rPr>
          <w:rFonts w:hint="eastAsia" w:ascii="宋体" w:hAnsi="宋体" w:eastAsia="宋体" w:cs="宋体"/>
          <w:sz w:val="24"/>
        </w:rPr>
        <w:t>（公司名称）参加</w:t>
      </w:r>
      <w:r>
        <w:rPr>
          <w:rFonts w:hint="eastAsia" w:ascii="宋体" w:hAnsi="宋体" w:eastAsia="宋体" w:cs="宋体"/>
          <w:sz w:val="24"/>
          <w:u w:val="single"/>
        </w:rPr>
        <w:t>中山市小榄人民医院食堂经营遴选项目</w:t>
      </w:r>
      <w:r>
        <w:rPr>
          <w:rFonts w:hint="eastAsia" w:ascii="宋体" w:hAnsi="宋体" w:eastAsia="宋体" w:cs="宋体"/>
          <w:sz w:val="24"/>
        </w:rPr>
        <w:t>，现承诺：</w:t>
      </w:r>
    </w:p>
    <w:p w14:paraId="42243D92">
      <w:pPr>
        <w:spacing w:line="360" w:lineRule="auto"/>
        <w:ind w:firstLine="480" w:firstLineChars="200"/>
        <w:rPr>
          <w:rFonts w:hint="eastAsia" w:ascii="宋体" w:hAnsi="宋体" w:eastAsia="宋体" w:cs="宋体"/>
          <w:sz w:val="24"/>
        </w:rPr>
      </w:pPr>
      <w:r>
        <w:rPr>
          <w:rFonts w:hint="eastAsia" w:ascii="宋体" w:hAnsi="宋体" w:eastAsia="宋体" w:cs="宋体"/>
          <w:sz w:val="24"/>
        </w:rPr>
        <w:t>我公司满足</w:t>
      </w:r>
      <w:r>
        <w:rPr>
          <w:rFonts w:hint="eastAsia" w:ascii="宋体" w:hAnsi="宋体" w:eastAsia="宋体" w:cs="宋体"/>
          <w:sz w:val="24"/>
          <w:lang w:val="en-US" w:eastAsia="zh-CN"/>
        </w:rPr>
        <w:t>服务商</w:t>
      </w:r>
      <w:r>
        <w:rPr>
          <w:rFonts w:hint="eastAsia" w:ascii="宋体" w:hAnsi="宋体" w:eastAsia="宋体" w:cs="宋体"/>
          <w:sz w:val="24"/>
        </w:rPr>
        <w:t>的资格要求，包括（不限于）：</w:t>
      </w:r>
    </w:p>
    <w:p w14:paraId="78A358FB">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（1）具有独立承担民事责任的能力；</w:t>
      </w:r>
    </w:p>
    <w:p w14:paraId="46039B59">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（2）具有良好的商业信誉</w:t>
      </w:r>
      <w:r>
        <w:rPr>
          <w:rFonts w:hint="eastAsia" w:ascii="宋体" w:hAnsi="宋体" w:eastAsia="宋体" w:cs="宋体"/>
          <w:i w:val="0"/>
          <w:iCs w:val="0"/>
          <w:caps w:val="0"/>
          <w:color w:val="auto"/>
          <w:spacing w:val="0"/>
          <w:kern w:val="0"/>
          <w:sz w:val="24"/>
          <w:szCs w:val="24"/>
          <w:shd w:val="clear" w:color="auto" w:fill="FFFFFF"/>
          <w:lang w:val="en-US" w:eastAsia="zh-CN" w:bidi="ar"/>
        </w:rPr>
        <w:t>和健全的财务会计制度</w:t>
      </w:r>
      <w:r>
        <w:rPr>
          <w:rFonts w:hint="eastAsia" w:ascii="宋体" w:hAnsi="宋体" w:eastAsia="宋体" w:cs="宋体"/>
          <w:sz w:val="24"/>
        </w:rPr>
        <w:t>；</w:t>
      </w:r>
    </w:p>
    <w:p w14:paraId="2666BE8C">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（3）具有履行合同所必需的设备和专业技术能力；</w:t>
      </w:r>
    </w:p>
    <w:p w14:paraId="1D88A2AA">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（4）有依法缴纳税收和社会保障资金的良好记录；</w:t>
      </w:r>
    </w:p>
    <w:p w14:paraId="3E7DB456">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w:t>
      </w:r>
      <w:r>
        <w:rPr>
          <w:rFonts w:hint="eastAsia" w:ascii="宋体" w:hAnsi="宋体" w:eastAsia="宋体" w:cs="宋体"/>
          <w:i w:val="0"/>
          <w:iCs w:val="0"/>
          <w:caps w:val="0"/>
          <w:color w:val="auto"/>
          <w:spacing w:val="0"/>
          <w:kern w:val="0"/>
          <w:sz w:val="24"/>
          <w:szCs w:val="24"/>
          <w:shd w:val="clear" w:color="auto" w:fill="FFFFFF"/>
          <w:lang w:val="en-US" w:eastAsia="zh-CN" w:bidi="ar"/>
        </w:rPr>
        <w:t>参加本次遴选活动前三年内，在经营活动中没有重大违法记录。 重大违法记录，是指服务商因违法经营受到刑事处罚或者责令停产停业、吊销许可证或者执照、较大数额罚款等行政处罚。若服务商同时提供承诺函和证明材料的，资格审查时以证明材料为准。（根据财库〔2022〕3号文，“较大数额罚款”认定为200万元以上的罚款，法律、行政法规以及国务院有关部门明确规定相关领域“较大数额罚款”标准高于200万元的，从其规定）</w:t>
      </w:r>
      <w:r>
        <w:rPr>
          <w:rFonts w:hint="eastAsia" w:ascii="宋体" w:hAnsi="宋体" w:eastAsia="宋体" w:cs="宋体"/>
          <w:sz w:val="24"/>
        </w:rPr>
        <w:t>；</w:t>
      </w:r>
    </w:p>
    <w:p w14:paraId="49A79A04">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（6）法律、行政法规规定的其他条件；</w:t>
      </w:r>
    </w:p>
    <w:p w14:paraId="6DB027D2">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（7）根据</w:t>
      </w:r>
      <w:r>
        <w:rPr>
          <w:rFonts w:hint="eastAsia" w:ascii="宋体" w:hAnsi="宋体" w:eastAsia="宋体" w:cs="宋体"/>
          <w:sz w:val="24"/>
          <w:lang w:val="en-US" w:eastAsia="zh-CN"/>
        </w:rPr>
        <w:t>遴选</w:t>
      </w:r>
      <w:r>
        <w:rPr>
          <w:rFonts w:hint="eastAsia" w:ascii="宋体" w:hAnsi="宋体" w:eastAsia="宋体" w:cs="宋体"/>
          <w:sz w:val="24"/>
        </w:rPr>
        <w:t>项目提出的特殊条件。</w:t>
      </w:r>
    </w:p>
    <w:p w14:paraId="1A73E305">
      <w:pPr>
        <w:pStyle w:val="7"/>
        <w:spacing w:line="360" w:lineRule="auto"/>
        <w:ind w:left="959" w:leftChars="228" w:hanging="480" w:hangingChars="200"/>
        <w:rPr>
          <w:rFonts w:hint="eastAsia" w:ascii="宋体" w:hAnsi="宋体" w:eastAsia="宋体" w:cs="宋体"/>
          <w:sz w:val="24"/>
          <w:szCs w:val="24"/>
        </w:rPr>
      </w:pPr>
      <w:r>
        <w:rPr>
          <w:rFonts w:hint="eastAsia" w:ascii="宋体" w:hAnsi="宋体" w:eastAsia="宋体" w:cs="宋体"/>
          <w:sz w:val="24"/>
          <w:szCs w:val="24"/>
        </w:rPr>
        <w:t>（8）截止</w:t>
      </w:r>
      <w:r>
        <w:rPr>
          <w:rFonts w:hint="eastAsia" w:ascii="宋体" w:hAnsi="宋体" w:eastAsia="宋体" w:cs="宋体"/>
          <w:sz w:val="24"/>
          <w:szCs w:val="24"/>
          <w:lang w:val="en-US" w:eastAsia="zh-CN"/>
        </w:rPr>
        <w:t>报名</w:t>
      </w:r>
      <w:r>
        <w:rPr>
          <w:rFonts w:hint="eastAsia" w:ascii="宋体" w:hAnsi="宋体" w:eastAsia="宋体" w:cs="宋体"/>
          <w:sz w:val="24"/>
          <w:szCs w:val="24"/>
        </w:rPr>
        <w:t>时间未被列入“信用中国”网站(www.creditchina.gov.cn)、中国政府采购网(www.ccgp.gov.cn)渠道信用记录失信被执行人、重大税收违法案件当事人名单、政府采购严重违法失信行为记录名单；未处于政府部门禁止代理政府采购业务处罚期、未在我院禁止参与期内。</w:t>
      </w:r>
    </w:p>
    <w:p w14:paraId="4D34D3BC">
      <w:pPr>
        <w:spacing w:line="360" w:lineRule="auto"/>
        <w:ind w:firstLine="482" w:firstLineChars="200"/>
        <w:jc w:val="left"/>
        <w:rPr>
          <w:rFonts w:hint="eastAsia" w:ascii="宋体" w:hAnsi="宋体" w:eastAsia="宋体" w:cs="宋体"/>
          <w:b/>
          <w:bCs/>
          <w:sz w:val="24"/>
        </w:rPr>
      </w:pPr>
      <w:r>
        <w:rPr>
          <w:rFonts w:hint="eastAsia" w:ascii="宋体" w:hAnsi="宋体" w:eastAsia="宋体" w:cs="宋体"/>
          <w:b/>
          <w:bCs/>
          <w:sz w:val="24"/>
        </w:rPr>
        <w:t>2.我方已认真阅读并接受本项目</w:t>
      </w:r>
      <w:r>
        <w:rPr>
          <w:rFonts w:hint="eastAsia" w:ascii="宋体" w:hAnsi="宋体" w:eastAsia="宋体" w:cs="宋体"/>
          <w:b/>
          <w:bCs/>
          <w:sz w:val="24"/>
          <w:lang w:val="en-US" w:eastAsia="zh-CN"/>
        </w:rPr>
        <w:t>遴选</w:t>
      </w:r>
      <w:r>
        <w:rPr>
          <w:rFonts w:hint="eastAsia" w:ascii="宋体" w:hAnsi="宋体" w:eastAsia="宋体" w:cs="宋体"/>
          <w:b/>
          <w:bCs/>
          <w:sz w:val="24"/>
        </w:rPr>
        <w:t>文件的全部实质性要求，如对</w:t>
      </w:r>
      <w:r>
        <w:rPr>
          <w:rFonts w:hint="eastAsia" w:ascii="宋体" w:hAnsi="宋体" w:eastAsia="宋体" w:cs="宋体"/>
          <w:b/>
          <w:bCs/>
          <w:sz w:val="24"/>
          <w:lang w:val="en-US" w:eastAsia="zh-CN"/>
        </w:rPr>
        <w:t>遴选文件</w:t>
      </w:r>
      <w:r>
        <w:rPr>
          <w:rFonts w:hint="eastAsia" w:ascii="宋体" w:hAnsi="宋体" w:eastAsia="宋体" w:cs="宋体"/>
          <w:b/>
          <w:bCs/>
          <w:sz w:val="24"/>
        </w:rPr>
        <w:t>有异议，已依法进行维权救济，不存在对</w:t>
      </w:r>
      <w:r>
        <w:rPr>
          <w:rFonts w:hint="eastAsia" w:ascii="宋体" w:hAnsi="宋体" w:eastAsia="宋体" w:cs="宋体"/>
          <w:b/>
          <w:bCs/>
          <w:sz w:val="24"/>
          <w:lang w:val="en-US" w:eastAsia="zh-CN"/>
        </w:rPr>
        <w:t>遴选文件</w:t>
      </w:r>
      <w:r>
        <w:rPr>
          <w:rFonts w:hint="eastAsia" w:ascii="宋体" w:hAnsi="宋体" w:eastAsia="宋体" w:cs="宋体"/>
          <w:b/>
          <w:bCs/>
          <w:sz w:val="24"/>
        </w:rPr>
        <w:t>有异议的同时又参加</w:t>
      </w:r>
      <w:r>
        <w:rPr>
          <w:rFonts w:hint="eastAsia" w:ascii="宋体" w:hAnsi="宋体" w:eastAsia="宋体" w:cs="宋体"/>
          <w:b/>
          <w:bCs/>
          <w:sz w:val="24"/>
          <w:lang w:val="en-US" w:eastAsia="zh-CN"/>
        </w:rPr>
        <w:t>遴选活动</w:t>
      </w:r>
      <w:r>
        <w:rPr>
          <w:rFonts w:hint="eastAsia" w:ascii="宋体" w:hAnsi="宋体" w:eastAsia="宋体" w:cs="宋体"/>
          <w:b/>
          <w:bCs/>
          <w:sz w:val="24"/>
        </w:rPr>
        <w:t>以求侥幸成交或者为实现其他非法目的的行为。</w:t>
      </w:r>
    </w:p>
    <w:p w14:paraId="65B958E5">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3.本项目</w:t>
      </w:r>
      <w:r>
        <w:rPr>
          <w:rFonts w:hint="eastAsia" w:ascii="宋体" w:hAnsi="宋体" w:eastAsia="宋体" w:cs="宋体"/>
          <w:sz w:val="24"/>
          <w:lang w:val="en-US" w:eastAsia="zh-CN"/>
        </w:rPr>
        <w:t>响应文件</w:t>
      </w:r>
      <w:r>
        <w:rPr>
          <w:rFonts w:hint="eastAsia" w:ascii="宋体" w:hAnsi="宋体" w:eastAsia="宋体" w:cs="宋体"/>
          <w:sz w:val="24"/>
        </w:rPr>
        <w:t>有效期为90天</w:t>
      </w:r>
    </w:p>
    <w:p w14:paraId="13FACF5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4.响应文件中提供的任何资料和技术、服务、商务等响应承诺情况都是真实的、有效的、合法的。</w:t>
      </w:r>
    </w:p>
    <w:p w14:paraId="77A6460D">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5.如本项目</w:t>
      </w:r>
      <w:r>
        <w:rPr>
          <w:rFonts w:hint="eastAsia" w:ascii="宋体" w:hAnsi="宋体" w:eastAsia="宋体" w:cs="宋体"/>
          <w:sz w:val="24"/>
          <w:lang w:val="en-US" w:eastAsia="zh-CN"/>
        </w:rPr>
        <w:t>遴选</w:t>
      </w:r>
      <w:r>
        <w:rPr>
          <w:rFonts w:hint="eastAsia" w:ascii="宋体" w:hAnsi="宋体" w:eastAsia="宋体" w:cs="宋体"/>
          <w:sz w:val="24"/>
        </w:rPr>
        <w:t>过程中需要提供样品，则我方提供的样品即为成交后将要提供的成交产品，我方对提供样品的性能和质量负责，因样品存在缺陷或者不符合</w:t>
      </w:r>
      <w:r>
        <w:rPr>
          <w:rFonts w:hint="eastAsia" w:ascii="宋体" w:hAnsi="宋体" w:eastAsia="宋体" w:cs="宋体"/>
          <w:sz w:val="24"/>
          <w:lang w:val="en-US" w:eastAsia="zh-CN"/>
        </w:rPr>
        <w:t>遴选</w:t>
      </w:r>
      <w:r>
        <w:rPr>
          <w:rFonts w:hint="eastAsia" w:ascii="宋体" w:hAnsi="宋体" w:eastAsia="宋体" w:cs="宋体"/>
          <w:sz w:val="24"/>
        </w:rPr>
        <w:t>文件要求导致未能成交的，我方愿意承担相应不利后果。</w:t>
      </w:r>
    </w:p>
    <w:p w14:paraId="59FD5450">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6.国家或行业主管部门对采购产品的技术标准、质量标准和资格资质条件等有强制性规定的，我方承诺符合其要求。</w:t>
      </w:r>
    </w:p>
    <w:p w14:paraId="198BAA09">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7.参加本次</w:t>
      </w:r>
      <w:r>
        <w:rPr>
          <w:rFonts w:hint="eastAsia" w:ascii="宋体" w:hAnsi="宋体" w:eastAsia="宋体" w:cs="宋体"/>
          <w:sz w:val="24"/>
          <w:lang w:val="en-US" w:eastAsia="zh-CN"/>
        </w:rPr>
        <w:t>遴选</w:t>
      </w:r>
      <w:r>
        <w:rPr>
          <w:rFonts w:hint="eastAsia" w:ascii="宋体" w:hAnsi="宋体" w:eastAsia="宋体" w:cs="宋体"/>
          <w:sz w:val="24"/>
        </w:rPr>
        <w:t>活动，我方完全同意</w:t>
      </w:r>
      <w:r>
        <w:rPr>
          <w:rFonts w:hint="eastAsia" w:ascii="宋体" w:hAnsi="宋体" w:eastAsia="宋体" w:cs="宋体"/>
          <w:sz w:val="24"/>
          <w:lang w:val="en-US" w:eastAsia="zh-CN"/>
        </w:rPr>
        <w:t>遴选</w:t>
      </w:r>
      <w:r>
        <w:rPr>
          <w:rFonts w:hint="eastAsia" w:ascii="宋体" w:hAnsi="宋体" w:eastAsia="宋体" w:cs="宋体"/>
          <w:sz w:val="24"/>
        </w:rPr>
        <w:t>文件“合同分包”、“合同转包”的实质性要求，并承诺严格按照</w:t>
      </w:r>
      <w:r>
        <w:rPr>
          <w:rFonts w:hint="eastAsia" w:ascii="宋体" w:hAnsi="宋体" w:eastAsia="宋体" w:cs="宋体"/>
          <w:sz w:val="24"/>
          <w:lang w:val="en-US" w:eastAsia="zh-CN"/>
        </w:rPr>
        <w:t>遴选文件</w:t>
      </w:r>
      <w:r>
        <w:rPr>
          <w:rFonts w:hint="eastAsia" w:ascii="宋体" w:hAnsi="宋体" w:eastAsia="宋体" w:cs="宋体"/>
          <w:sz w:val="24"/>
        </w:rPr>
        <w:t>要求履行。</w:t>
      </w:r>
    </w:p>
    <w:p w14:paraId="0F326162">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宋体" w:hAnsi="宋体" w:eastAsia="宋体" w:cs="宋体"/>
          <w:sz w:val="24"/>
          <w:lang w:val="en-US" w:eastAsia="zh-CN"/>
        </w:rPr>
        <w:t>遴选文件</w:t>
      </w:r>
      <w:r>
        <w:rPr>
          <w:rFonts w:hint="eastAsia" w:ascii="宋体" w:hAnsi="宋体" w:eastAsia="宋体" w:cs="宋体"/>
          <w:sz w:val="24"/>
        </w:rPr>
        <w:t>特别规定，</w:t>
      </w:r>
      <w:r>
        <w:rPr>
          <w:rFonts w:hint="eastAsia" w:ascii="宋体" w:hAnsi="宋体" w:eastAsia="宋体" w:cs="宋体"/>
          <w:sz w:val="24"/>
          <w:lang w:eastAsia="zh-CN"/>
        </w:rPr>
        <w:t>业主方</w:t>
      </w:r>
      <w:r>
        <w:rPr>
          <w:rFonts w:hint="eastAsia" w:ascii="宋体" w:hAnsi="宋体" w:eastAsia="宋体" w:cs="宋体"/>
          <w:sz w:val="24"/>
        </w:rPr>
        <w:t>享有本项目实施过程中产生的知识成果及知识产权。如我方在</w:t>
      </w:r>
      <w:r>
        <w:rPr>
          <w:rFonts w:hint="eastAsia" w:ascii="宋体" w:hAnsi="宋体" w:eastAsia="宋体" w:cs="宋体"/>
          <w:sz w:val="24"/>
          <w:lang w:val="en-US" w:eastAsia="zh-CN"/>
        </w:rPr>
        <w:t>遴选</w:t>
      </w:r>
      <w:r>
        <w:rPr>
          <w:rFonts w:hint="eastAsia" w:ascii="宋体" w:hAnsi="宋体" w:eastAsia="宋体" w:cs="宋体"/>
          <w:sz w:val="24"/>
        </w:rPr>
        <w:t>项目实施过程中采用自有或者第三方知识成果的，使用该知识成果后，我方承诺提供开发接口和开发手册等技术资料，并提供无限期支持，</w:t>
      </w:r>
      <w:r>
        <w:rPr>
          <w:rFonts w:hint="eastAsia" w:ascii="宋体" w:hAnsi="宋体" w:eastAsia="宋体" w:cs="宋体"/>
          <w:sz w:val="24"/>
          <w:lang w:eastAsia="zh-CN"/>
        </w:rPr>
        <w:t>业主方</w:t>
      </w:r>
      <w:r>
        <w:rPr>
          <w:rFonts w:hint="eastAsia" w:ascii="宋体" w:hAnsi="宋体" w:eastAsia="宋体" w:cs="宋体"/>
          <w:sz w:val="24"/>
        </w:rPr>
        <w:t>享有使用权（含</w:t>
      </w:r>
      <w:r>
        <w:rPr>
          <w:rFonts w:hint="eastAsia" w:ascii="宋体" w:hAnsi="宋体" w:eastAsia="宋体" w:cs="宋体"/>
          <w:sz w:val="24"/>
          <w:lang w:eastAsia="zh-CN"/>
        </w:rPr>
        <w:t>业主方</w:t>
      </w:r>
      <w:r>
        <w:rPr>
          <w:rFonts w:hint="eastAsia" w:ascii="宋体" w:hAnsi="宋体" w:eastAsia="宋体" w:cs="宋体"/>
          <w:sz w:val="24"/>
        </w:rPr>
        <w:t>委托第三方在该项目后续开发的使用权）。如我方在项目实施过程中采用非自有的知识产权，则在</w:t>
      </w:r>
      <w:r>
        <w:rPr>
          <w:rFonts w:hint="eastAsia" w:ascii="宋体" w:hAnsi="宋体" w:eastAsia="宋体" w:cs="宋体"/>
          <w:sz w:val="24"/>
          <w:lang w:val="en-US" w:eastAsia="zh-CN"/>
        </w:rPr>
        <w:t>响应</w:t>
      </w:r>
      <w:r>
        <w:rPr>
          <w:rFonts w:hint="eastAsia" w:ascii="宋体" w:hAnsi="宋体" w:eastAsia="宋体" w:cs="宋体"/>
          <w:sz w:val="24"/>
        </w:rPr>
        <w:t>中已包括合法获取该知识产权的相关费用。</w:t>
      </w:r>
    </w:p>
    <w:p w14:paraId="6B136F76">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9.我方自愿按照</w:t>
      </w:r>
      <w:r>
        <w:rPr>
          <w:rFonts w:hint="eastAsia" w:ascii="宋体" w:hAnsi="宋体" w:eastAsia="宋体" w:cs="宋体"/>
          <w:sz w:val="24"/>
          <w:lang w:val="en-US" w:eastAsia="zh-CN"/>
        </w:rPr>
        <w:t>遴选文件</w:t>
      </w:r>
      <w:r>
        <w:rPr>
          <w:rFonts w:hint="eastAsia" w:ascii="宋体" w:hAnsi="宋体" w:eastAsia="宋体" w:cs="宋体"/>
          <w:sz w:val="24"/>
        </w:rPr>
        <w:t>规定的各项要求向</w:t>
      </w:r>
      <w:r>
        <w:rPr>
          <w:rFonts w:hint="eastAsia" w:ascii="宋体" w:hAnsi="宋体" w:eastAsia="宋体" w:cs="宋体"/>
          <w:sz w:val="24"/>
          <w:lang w:eastAsia="zh-CN"/>
        </w:rPr>
        <w:t>业主方</w:t>
      </w:r>
      <w:r>
        <w:rPr>
          <w:rFonts w:hint="eastAsia" w:ascii="宋体" w:hAnsi="宋体" w:eastAsia="宋体" w:cs="宋体"/>
          <w:sz w:val="24"/>
        </w:rPr>
        <w:t>提供所需货物和服务。</w:t>
      </w:r>
    </w:p>
    <w:p w14:paraId="2E2CDD2C">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10.一旦我方成交，我方将严格履行合同规定的责任和义务。</w:t>
      </w:r>
    </w:p>
    <w:p w14:paraId="5BA6F014">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11.我方愿意提供贵单位可能另外要求的，与</w:t>
      </w:r>
      <w:r>
        <w:rPr>
          <w:rFonts w:hint="eastAsia" w:ascii="宋体" w:hAnsi="宋体" w:eastAsia="宋体" w:cs="宋体"/>
          <w:sz w:val="24"/>
          <w:lang w:val="en-US" w:eastAsia="zh-CN"/>
        </w:rPr>
        <w:t>遴选活动</w:t>
      </w:r>
      <w:r>
        <w:rPr>
          <w:rFonts w:hint="eastAsia" w:ascii="宋体" w:hAnsi="宋体" w:eastAsia="宋体" w:cs="宋体"/>
          <w:sz w:val="24"/>
        </w:rPr>
        <w:t>有关的文件资料，并保证我方已提供和将要提供的文件资料是真实、准确的。</w:t>
      </w:r>
    </w:p>
    <w:p w14:paraId="5EC5F9AD">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本单位对上述承诺的内容事项真实性负责。如经查实上述承诺的内容事项存在虚假，我单位愿意接受以提供虚假材料谋取成交追究法律责任。</w:t>
      </w:r>
    </w:p>
    <w:p w14:paraId="05BABDED">
      <w:pPr>
        <w:adjustRightInd w:val="0"/>
        <w:spacing w:line="360" w:lineRule="auto"/>
        <w:ind w:firstLine="900" w:firstLineChars="375"/>
        <w:rPr>
          <w:rFonts w:hint="eastAsia" w:ascii="宋体" w:hAnsi="宋体" w:eastAsia="宋体" w:cs="宋体"/>
          <w:bCs/>
          <w:sz w:val="24"/>
        </w:rPr>
      </w:pPr>
    </w:p>
    <w:p w14:paraId="0859E509">
      <w:pPr>
        <w:adjustRightInd w:val="0"/>
        <w:spacing w:line="360" w:lineRule="auto"/>
        <w:jc w:val="left"/>
        <w:rPr>
          <w:rFonts w:hint="eastAsia" w:ascii="宋体" w:hAnsi="宋体" w:eastAsia="宋体" w:cs="宋体"/>
          <w:bCs/>
          <w:sz w:val="24"/>
        </w:rPr>
      </w:pPr>
    </w:p>
    <w:p w14:paraId="2EA3B8A2">
      <w:pPr>
        <w:adjustRightInd w:val="0"/>
        <w:spacing w:line="360" w:lineRule="auto"/>
        <w:jc w:val="left"/>
        <w:rPr>
          <w:rFonts w:hint="eastAsia" w:ascii="宋体" w:hAnsi="宋体" w:eastAsia="宋体" w:cs="宋体"/>
          <w:bCs/>
          <w:sz w:val="24"/>
        </w:rPr>
      </w:pPr>
      <w:r>
        <w:rPr>
          <w:rFonts w:hint="eastAsia" w:ascii="宋体" w:hAnsi="宋体" w:eastAsia="宋体" w:cs="宋体"/>
          <w:bCs/>
          <w:sz w:val="24"/>
          <w:lang w:val="en-US" w:eastAsia="zh-CN"/>
        </w:rPr>
        <w:t>服务商</w:t>
      </w:r>
      <w:r>
        <w:rPr>
          <w:rFonts w:hint="eastAsia" w:ascii="宋体" w:hAnsi="宋体" w:eastAsia="宋体" w:cs="宋体"/>
          <w:bCs/>
          <w:sz w:val="24"/>
        </w:rPr>
        <w:t xml:space="preserve">名称：        </w:t>
      </w:r>
      <w:r>
        <w:rPr>
          <w:rFonts w:hint="eastAsia" w:ascii="宋体" w:hAnsi="宋体" w:eastAsia="宋体" w:cs="宋体"/>
          <w:bCs/>
          <w:sz w:val="24"/>
          <w:lang w:val="en-US" w:eastAsia="zh-CN"/>
        </w:rPr>
        <w:t xml:space="preserve">       </w:t>
      </w:r>
      <w:r>
        <w:rPr>
          <w:rFonts w:hint="eastAsia" w:ascii="宋体" w:hAnsi="宋体" w:eastAsia="宋体" w:cs="宋体"/>
          <w:bCs/>
          <w:sz w:val="24"/>
        </w:rPr>
        <w:t>（盖章）</w:t>
      </w:r>
    </w:p>
    <w:p w14:paraId="7326E69A">
      <w:pPr>
        <w:adjustRightInd w:val="0"/>
        <w:spacing w:line="360" w:lineRule="auto"/>
        <w:jc w:val="left"/>
        <w:rPr>
          <w:rFonts w:hint="eastAsia" w:ascii="宋体" w:hAnsi="宋体" w:eastAsia="宋体" w:cs="宋体"/>
          <w:bCs/>
          <w:sz w:val="24"/>
        </w:rPr>
      </w:pPr>
      <w:r>
        <w:rPr>
          <w:rFonts w:hint="eastAsia" w:ascii="宋体" w:hAnsi="宋体" w:eastAsia="宋体" w:cs="宋体"/>
          <w:sz w:val="24"/>
        </w:rPr>
        <w:t>法定代表人或其委托人签字：</w:t>
      </w:r>
    </w:p>
    <w:p w14:paraId="6E0BAF15">
      <w:pPr>
        <w:pStyle w:val="7"/>
        <w:spacing w:line="360" w:lineRule="auto"/>
        <w:jc w:val="left"/>
        <w:rPr>
          <w:rFonts w:hint="eastAsia" w:ascii="宋体" w:hAnsi="宋体" w:eastAsia="宋体" w:cs="宋体"/>
          <w:sz w:val="24"/>
        </w:rPr>
      </w:pPr>
      <w:r>
        <w:rPr>
          <w:rFonts w:hint="eastAsia" w:ascii="宋体" w:hAnsi="宋体" w:eastAsia="宋体" w:cs="宋体"/>
          <w:bCs/>
          <w:sz w:val="24"/>
        </w:rPr>
        <w:t>时间：</w:t>
      </w:r>
    </w:p>
    <w:p w14:paraId="4BF71F79">
      <w:pPr>
        <w:adjustRightInd w:val="0"/>
        <w:spacing w:line="360" w:lineRule="auto"/>
        <w:rPr>
          <w:rFonts w:hint="eastAsia" w:ascii="宋体" w:hAnsi="宋体" w:eastAsia="宋体" w:cs="宋体"/>
          <w:bCs/>
          <w:sz w:val="32"/>
          <w:szCs w:val="32"/>
        </w:rPr>
      </w:pPr>
    </w:p>
    <w:p w14:paraId="17E79423">
      <w:pPr>
        <w:spacing w:line="360" w:lineRule="auto"/>
        <w:rPr>
          <w:rFonts w:hint="eastAsia" w:ascii="宋体" w:hAnsi="宋体" w:eastAsia="宋体" w:cs="宋体"/>
          <w:b/>
          <w:bCs/>
          <w:sz w:val="32"/>
          <w:szCs w:val="32"/>
        </w:rPr>
      </w:pPr>
      <w:r>
        <w:rPr>
          <w:rFonts w:hint="eastAsia" w:ascii="宋体" w:hAnsi="宋体" w:eastAsia="宋体" w:cs="宋体"/>
          <w:b/>
          <w:bCs/>
          <w:sz w:val="44"/>
          <w:szCs w:val="52"/>
        </w:rPr>
        <w:br w:type="page"/>
      </w:r>
      <w:bookmarkStart w:id="5" w:name="_Toc31838"/>
      <w:bookmarkStart w:id="6" w:name="_Toc17857"/>
      <w:bookmarkStart w:id="7" w:name="_Toc22676"/>
      <w:bookmarkStart w:id="8" w:name="_Toc30971"/>
    </w:p>
    <w:p w14:paraId="2934BC73">
      <w:pPr>
        <w:pStyle w:val="31"/>
        <w:spacing w:line="360" w:lineRule="auto"/>
        <w:ind w:firstLine="422" w:firstLineChars="200"/>
        <w:rPr>
          <w:rStyle w:val="33"/>
          <w:rFonts w:hint="eastAsia" w:ascii="宋体" w:hAnsi="宋体" w:eastAsia="宋体" w:cs="宋体"/>
          <w:b/>
          <w:bCs/>
          <w:sz w:val="21"/>
          <w:szCs w:val="21"/>
          <w:lang w:val="en-US" w:eastAsia="zh-CN"/>
        </w:rPr>
      </w:pPr>
      <w:bookmarkStart w:id="9" w:name="_Toc4305"/>
      <w:r>
        <w:rPr>
          <w:rStyle w:val="33"/>
          <w:rFonts w:hint="eastAsia" w:ascii="宋体" w:hAnsi="宋体" w:eastAsia="宋体" w:cs="宋体"/>
          <w:b/>
          <w:bCs/>
          <w:sz w:val="21"/>
          <w:szCs w:val="21"/>
          <w:lang w:val="en-US" w:eastAsia="zh-CN"/>
        </w:rPr>
        <w:t>二</w:t>
      </w:r>
      <w:r>
        <w:rPr>
          <w:rStyle w:val="33"/>
          <w:rFonts w:hint="eastAsia" w:ascii="宋体" w:hAnsi="宋体" w:eastAsia="宋体" w:cs="宋体"/>
          <w:b/>
          <w:bCs/>
          <w:sz w:val="21"/>
          <w:szCs w:val="21"/>
        </w:rPr>
        <w:t>、具有独立承担民事责任的能力</w:t>
      </w:r>
      <w:bookmarkEnd w:id="5"/>
      <w:bookmarkEnd w:id="6"/>
      <w:bookmarkEnd w:id="7"/>
      <w:bookmarkEnd w:id="8"/>
      <w:bookmarkEnd w:id="9"/>
      <w:r>
        <w:rPr>
          <w:rFonts w:hint="eastAsia" w:ascii="宋体" w:hAnsi="宋体" w:eastAsia="宋体" w:cs="宋体"/>
          <w:b/>
          <w:bCs/>
          <w:color w:val="auto"/>
          <w:sz w:val="21"/>
          <w:szCs w:val="21"/>
        </w:rPr>
        <w:t>(</w:t>
      </w:r>
      <w:r>
        <w:rPr>
          <w:rStyle w:val="33"/>
          <w:rFonts w:hint="eastAsia" w:ascii="宋体" w:hAnsi="宋体" w:eastAsia="宋体" w:cs="宋体"/>
          <w:b/>
          <w:bCs/>
          <w:sz w:val="21"/>
          <w:szCs w:val="21"/>
        </w:rPr>
        <w:t>营业执照</w:t>
      </w:r>
      <w:r>
        <w:rPr>
          <w:rFonts w:hint="eastAsia" w:ascii="宋体" w:hAnsi="宋体" w:eastAsia="宋体" w:cs="宋体"/>
          <w:b/>
          <w:bCs/>
          <w:color w:val="auto"/>
          <w:sz w:val="21"/>
          <w:szCs w:val="21"/>
        </w:rPr>
        <w:t>)</w:t>
      </w:r>
      <w:r>
        <w:rPr>
          <w:rStyle w:val="33"/>
          <w:rFonts w:hint="eastAsia" w:ascii="宋体" w:hAnsi="宋体" w:eastAsia="宋体" w:cs="宋体"/>
          <w:b/>
          <w:bCs/>
          <w:sz w:val="21"/>
          <w:szCs w:val="21"/>
          <w:lang w:val="en-US" w:eastAsia="zh-CN"/>
        </w:rPr>
        <w:t>（本项目响应服务商经营范围须明确包含餐饮管理或饮食管理或食品经营管理</w:t>
      </w:r>
      <w:r>
        <w:rPr>
          <w:rStyle w:val="33"/>
          <w:rFonts w:hint="eastAsia" w:ascii="宋体" w:hAnsi="宋体" w:cs="宋体"/>
          <w:b/>
          <w:bCs/>
          <w:sz w:val="21"/>
          <w:szCs w:val="21"/>
          <w:lang w:val="en-US" w:eastAsia="zh-CN"/>
        </w:rPr>
        <w:t>等</w:t>
      </w:r>
      <w:r>
        <w:rPr>
          <w:rStyle w:val="33"/>
          <w:rFonts w:hint="eastAsia" w:ascii="宋体" w:hAnsi="宋体" w:eastAsia="宋体" w:cs="宋体"/>
          <w:b/>
          <w:bCs/>
          <w:sz w:val="21"/>
          <w:szCs w:val="21"/>
          <w:lang w:val="en-US" w:eastAsia="zh-CN"/>
        </w:rPr>
        <w:t>内容）</w:t>
      </w:r>
    </w:p>
    <w:p w14:paraId="777DC668">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69316DFE">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66A922CA">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66368515">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076CD4BE">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3BDBABBA">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5A331175">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551BF34C">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48D2BFBB">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6A75BBA7">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66DD5A3B">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33A8AE40">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288A17B8">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58FAA8F0">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37D01CE9">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23FDA8BA">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6C603202">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558B80D4">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7E96AAD8">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3D14AD08">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20CD0D09">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6590FDB3">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05942003">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00A6EC58">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498D58EA">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5B63F3A7">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3CEAC0DE">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50582583">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01BB1453">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0BB23D80">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60B7E91B">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4A73E28C">
      <w:pPr>
        <w:pStyle w:val="31"/>
        <w:keepNext w:val="0"/>
        <w:keepLines w:val="0"/>
        <w:pageBreakBefore w:val="0"/>
        <w:widowControl/>
        <w:kinsoku/>
        <w:wordWrap/>
        <w:overflowPunct/>
        <w:topLinePunct w:val="0"/>
        <w:autoSpaceDE/>
        <w:autoSpaceDN/>
        <w:bidi w:val="0"/>
        <w:adjustRightInd/>
        <w:snapToGrid/>
        <w:spacing w:line="360" w:lineRule="auto"/>
        <w:ind w:leftChars="0" w:firstLine="422" w:firstLineChars="200"/>
        <w:textAlignment w:val="auto"/>
        <w:rPr>
          <w:rStyle w:val="33"/>
          <w:rFonts w:hint="eastAsia" w:ascii="宋体" w:hAnsi="宋体" w:eastAsia="宋体" w:cs="宋体"/>
          <w:b/>
          <w:bCs/>
          <w:sz w:val="21"/>
          <w:szCs w:val="21"/>
          <w:lang w:val="en-US" w:eastAsia="zh-CN"/>
        </w:rPr>
      </w:pPr>
    </w:p>
    <w:p w14:paraId="7494E939">
      <w:pPr>
        <w:pStyle w:val="31"/>
        <w:keepNext w:val="0"/>
        <w:keepLines w:val="0"/>
        <w:pageBreakBefore w:val="0"/>
        <w:widowControl/>
        <w:kinsoku/>
        <w:wordWrap/>
        <w:overflowPunct/>
        <w:topLinePunct w:val="0"/>
        <w:autoSpaceDE/>
        <w:autoSpaceDN/>
        <w:bidi w:val="0"/>
        <w:adjustRightInd/>
        <w:snapToGrid/>
        <w:spacing w:line="360" w:lineRule="auto"/>
        <w:textAlignment w:val="auto"/>
        <w:rPr>
          <w:rStyle w:val="33"/>
          <w:rFonts w:hint="eastAsia" w:ascii="宋体" w:hAnsi="宋体" w:eastAsia="宋体" w:cs="宋体"/>
          <w:b/>
          <w:bCs/>
          <w:sz w:val="21"/>
          <w:szCs w:val="21"/>
          <w:lang w:val="en-US" w:eastAsia="zh-CN"/>
        </w:rPr>
      </w:pPr>
      <w:r>
        <w:rPr>
          <w:rStyle w:val="33"/>
          <w:rFonts w:hint="eastAsia" w:ascii="宋体" w:hAnsi="宋体" w:eastAsia="宋体" w:cs="宋体"/>
          <w:b/>
          <w:bCs/>
          <w:sz w:val="21"/>
          <w:szCs w:val="21"/>
          <w:lang w:val="en-US" w:eastAsia="zh-CN"/>
        </w:rPr>
        <w:t>三</w:t>
      </w:r>
      <w:r>
        <w:rPr>
          <w:rStyle w:val="33"/>
          <w:rFonts w:hint="eastAsia" w:ascii="宋体" w:hAnsi="宋体" w:eastAsia="宋体" w:cs="宋体"/>
          <w:b/>
          <w:bCs/>
          <w:sz w:val="21"/>
          <w:szCs w:val="21"/>
        </w:rPr>
        <w:t>、</w:t>
      </w:r>
      <w:r>
        <w:rPr>
          <w:rStyle w:val="33"/>
          <w:rFonts w:hint="eastAsia" w:ascii="宋体" w:hAnsi="宋体" w:eastAsia="宋体" w:cs="宋体"/>
          <w:b/>
          <w:bCs/>
          <w:sz w:val="21"/>
          <w:szCs w:val="21"/>
          <w:lang w:val="en-US" w:eastAsia="zh-CN"/>
        </w:rPr>
        <w:t>食品药品经营许可证</w:t>
      </w:r>
    </w:p>
    <w:p w14:paraId="7046A945">
      <w:pPr>
        <w:spacing w:line="360" w:lineRule="auto"/>
        <w:jc w:val="left"/>
        <w:outlineLvl w:val="1"/>
        <w:rPr>
          <w:rFonts w:hint="eastAsia" w:ascii="宋体" w:hAnsi="宋体" w:eastAsia="宋体" w:cs="宋体"/>
          <w:b/>
          <w:bCs/>
          <w:color w:val="auto"/>
          <w:sz w:val="21"/>
          <w:szCs w:val="21"/>
          <w:lang w:eastAsia="zh-CN"/>
        </w:rPr>
      </w:pPr>
    </w:p>
    <w:p w14:paraId="7C0F2574">
      <w:pPr>
        <w:spacing w:line="360" w:lineRule="auto"/>
        <w:jc w:val="both"/>
        <w:outlineLvl w:val="1"/>
        <w:rPr>
          <w:rStyle w:val="33"/>
          <w:rFonts w:hint="eastAsia" w:ascii="宋体" w:hAnsi="宋体" w:eastAsia="宋体" w:cs="宋体"/>
          <w:sz w:val="32"/>
          <w:szCs w:val="28"/>
        </w:rPr>
      </w:pPr>
      <w:r>
        <w:rPr>
          <w:rFonts w:hint="eastAsia" w:ascii="宋体" w:hAnsi="宋体" w:eastAsia="宋体" w:cs="宋体"/>
          <w:b/>
          <w:bCs/>
        </w:rPr>
        <w:br w:type="page"/>
      </w:r>
      <w:bookmarkStart w:id="10" w:name="_Toc30158"/>
      <w:bookmarkStart w:id="11" w:name="_Toc13706"/>
      <w:bookmarkStart w:id="12" w:name="_Toc13904"/>
      <w:bookmarkStart w:id="13" w:name="_Toc25357"/>
    </w:p>
    <w:p w14:paraId="318B1F28">
      <w:pPr>
        <w:pStyle w:val="31"/>
        <w:keepNext w:val="0"/>
        <w:keepLines w:val="0"/>
        <w:pageBreakBefore w:val="0"/>
        <w:widowControl/>
        <w:kinsoku/>
        <w:wordWrap/>
        <w:overflowPunct/>
        <w:topLinePunct w:val="0"/>
        <w:autoSpaceDE/>
        <w:autoSpaceDN/>
        <w:bidi w:val="0"/>
        <w:adjustRightInd/>
        <w:snapToGrid/>
        <w:spacing w:line="360" w:lineRule="auto"/>
        <w:textAlignment w:val="auto"/>
        <w:rPr>
          <w:rStyle w:val="33"/>
          <w:rFonts w:hint="default" w:ascii="宋体" w:hAnsi="宋体" w:eastAsia="宋体" w:cs="宋体"/>
          <w:b/>
          <w:bCs/>
          <w:sz w:val="21"/>
          <w:szCs w:val="21"/>
          <w:lang w:val="en-US" w:eastAsia="zh-CN"/>
        </w:rPr>
      </w:pPr>
      <w:r>
        <w:rPr>
          <w:rStyle w:val="33"/>
          <w:rFonts w:hint="eastAsia" w:ascii="宋体" w:hAnsi="宋体" w:cs="宋体"/>
          <w:b/>
          <w:bCs/>
          <w:sz w:val="21"/>
          <w:szCs w:val="21"/>
          <w:lang w:val="en-US" w:eastAsia="zh-CN"/>
        </w:rPr>
        <w:t>四</w:t>
      </w:r>
      <w:r>
        <w:rPr>
          <w:rStyle w:val="33"/>
          <w:rFonts w:hint="eastAsia" w:ascii="宋体" w:hAnsi="宋体" w:eastAsia="宋体" w:cs="宋体"/>
          <w:b/>
          <w:bCs/>
          <w:sz w:val="21"/>
          <w:szCs w:val="21"/>
          <w:lang w:val="en-US" w:eastAsia="zh-CN"/>
        </w:rPr>
        <w:t>、服务商概况</w:t>
      </w:r>
    </w:p>
    <w:tbl>
      <w:tblPr>
        <w:tblStyle w:val="22"/>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1"/>
        <w:gridCol w:w="1492"/>
        <w:gridCol w:w="1705"/>
        <w:gridCol w:w="80"/>
        <w:gridCol w:w="1777"/>
        <w:gridCol w:w="1874"/>
      </w:tblGrid>
      <w:tr w14:paraId="608F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31" w:type="dxa"/>
            <w:vAlign w:val="center"/>
          </w:tcPr>
          <w:p w14:paraId="3BD0B19C">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单位名称</w:t>
            </w:r>
          </w:p>
        </w:tc>
        <w:tc>
          <w:tcPr>
            <w:tcW w:w="6928" w:type="dxa"/>
            <w:gridSpan w:val="5"/>
            <w:vAlign w:val="center"/>
          </w:tcPr>
          <w:p w14:paraId="2BCDBC1E">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p>
        </w:tc>
      </w:tr>
      <w:tr w14:paraId="1E293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3" w:hRule="atLeast"/>
        </w:trPr>
        <w:tc>
          <w:tcPr>
            <w:tcW w:w="1731" w:type="dxa"/>
            <w:vAlign w:val="center"/>
          </w:tcPr>
          <w:p w14:paraId="7A3E929B">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地址</w:t>
            </w:r>
          </w:p>
        </w:tc>
        <w:tc>
          <w:tcPr>
            <w:tcW w:w="3197" w:type="dxa"/>
            <w:gridSpan w:val="2"/>
            <w:vAlign w:val="center"/>
          </w:tcPr>
          <w:p w14:paraId="4BB1502B">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p>
        </w:tc>
        <w:tc>
          <w:tcPr>
            <w:tcW w:w="1857" w:type="dxa"/>
            <w:gridSpan w:val="2"/>
            <w:vAlign w:val="center"/>
          </w:tcPr>
          <w:p w14:paraId="36788C89">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r>
              <w:rPr>
                <w:rFonts w:hint="eastAsia" w:ascii="宋体" w:hAnsi="宋体" w:eastAsia="宋体" w:cs="宋体"/>
                <w:b w:val="0"/>
                <w:bCs w:val="0"/>
                <w:i w:val="0"/>
                <w:iCs w:val="0"/>
                <w:color w:val="auto"/>
                <w:sz w:val="21"/>
                <w:szCs w:val="21"/>
                <w:highlight w:val="none"/>
                <w:u w:val="none"/>
                <w:vertAlign w:val="baseline"/>
                <w:lang w:val="en-US" w:eastAsia="zh-CN"/>
              </w:rPr>
              <w:t>企业类型：</w:t>
            </w:r>
          </w:p>
        </w:tc>
        <w:tc>
          <w:tcPr>
            <w:tcW w:w="1874" w:type="dxa"/>
            <w:vAlign w:val="center"/>
          </w:tcPr>
          <w:p w14:paraId="185057C7">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大型企业</w:t>
            </w:r>
            <w:r>
              <w:rPr>
                <w:rFonts w:hint="eastAsia" w:ascii="宋体" w:hAnsi="宋体" w:eastAsia="宋体" w:cs="宋体"/>
                <w:b w:val="0"/>
                <w:bCs w:val="0"/>
                <w:i w:val="0"/>
                <w:iCs w:val="0"/>
                <w:color w:val="auto"/>
                <w:sz w:val="21"/>
                <w:szCs w:val="21"/>
                <w:highlight w:val="none"/>
                <w:u w:val="none"/>
                <w:vertAlign w:val="baseline"/>
                <w:lang w:val="en-US" w:eastAsia="zh-CN"/>
              </w:rPr>
              <w:sym w:font="Wingdings 2" w:char="00A3"/>
            </w:r>
            <w:r>
              <w:rPr>
                <w:rFonts w:hint="eastAsia" w:ascii="宋体" w:hAnsi="宋体" w:eastAsia="宋体" w:cs="宋体"/>
                <w:b w:val="0"/>
                <w:bCs w:val="0"/>
                <w:i w:val="0"/>
                <w:iCs w:val="0"/>
                <w:color w:val="auto"/>
                <w:sz w:val="21"/>
                <w:szCs w:val="21"/>
                <w:highlight w:val="none"/>
                <w:u w:val="none"/>
                <w:vertAlign w:val="baseline"/>
                <w:lang w:val="en-US" w:eastAsia="zh-CN"/>
              </w:rPr>
              <w:t xml:space="preserve"> </w:t>
            </w:r>
          </w:p>
          <w:p w14:paraId="56985317">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 xml:space="preserve">中型企业□ </w:t>
            </w:r>
          </w:p>
          <w:p w14:paraId="67FAF331">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小型企业□</w:t>
            </w:r>
          </w:p>
          <w:p w14:paraId="628BE6AF">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r>
              <w:rPr>
                <w:rFonts w:hint="eastAsia" w:ascii="宋体" w:hAnsi="宋体" w:eastAsia="宋体" w:cs="宋体"/>
                <w:b w:val="0"/>
                <w:bCs w:val="0"/>
                <w:i w:val="0"/>
                <w:iCs w:val="0"/>
                <w:color w:val="auto"/>
                <w:sz w:val="21"/>
                <w:szCs w:val="21"/>
                <w:highlight w:val="none"/>
                <w:u w:val="none"/>
                <w:vertAlign w:val="baseline"/>
                <w:lang w:val="en-US" w:eastAsia="zh-CN"/>
              </w:rPr>
              <w:t>微型企业□</w:t>
            </w:r>
          </w:p>
        </w:tc>
      </w:tr>
      <w:tr w14:paraId="6BFA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731" w:type="dxa"/>
            <w:vAlign w:val="center"/>
          </w:tcPr>
          <w:p w14:paraId="657CEBDB">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成立时间</w:t>
            </w:r>
          </w:p>
        </w:tc>
        <w:tc>
          <w:tcPr>
            <w:tcW w:w="3197" w:type="dxa"/>
            <w:gridSpan w:val="2"/>
            <w:vAlign w:val="center"/>
          </w:tcPr>
          <w:p w14:paraId="187C96A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p>
        </w:tc>
        <w:tc>
          <w:tcPr>
            <w:tcW w:w="1857" w:type="dxa"/>
            <w:gridSpan w:val="2"/>
            <w:vAlign w:val="center"/>
          </w:tcPr>
          <w:p w14:paraId="72E35BB5">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r>
              <w:rPr>
                <w:rFonts w:hint="eastAsia" w:ascii="宋体" w:hAnsi="宋体" w:eastAsia="宋体" w:cs="宋体"/>
                <w:b w:val="0"/>
                <w:bCs w:val="0"/>
                <w:i w:val="0"/>
                <w:iCs w:val="0"/>
                <w:color w:val="auto"/>
                <w:sz w:val="21"/>
                <w:szCs w:val="21"/>
                <w:highlight w:val="none"/>
                <w:u w:val="none"/>
                <w:vertAlign w:val="baseline"/>
                <w:lang w:val="en-US" w:eastAsia="zh-CN"/>
              </w:rPr>
              <w:t>法人代表</w:t>
            </w:r>
          </w:p>
        </w:tc>
        <w:tc>
          <w:tcPr>
            <w:tcW w:w="1874" w:type="dxa"/>
            <w:vAlign w:val="center"/>
          </w:tcPr>
          <w:p w14:paraId="35CB65B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p>
        </w:tc>
      </w:tr>
      <w:tr w14:paraId="23724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7" w:hRule="atLeast"/>
        </w:trPr>
        <w:tc>
          <w:tcPr>
            <w:tcW w:w="1731" w:type="dxa"/>
            <w:vAlign w:val="center"/>
          </w:tcPr>
          <w:p w14:paraId="78C0D44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优势及特长</w:t>
            </w:r>
          </w:p>
        </w:tc>
        <w:tc>
          <w:tcPr>
            <w:tcW w:w="6928" w:type="dxa"/>
            <w:gridSpan w:val="5"/>
            <w:vAlign w:val="center"/>
          </w:tcPr>
          <w:p w14:paraId="0E645AB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p>
        </w:tc>
      </w:tr>
      <w:tr w14:paraId="63DBB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731" w:type="dxa"/>
            <w:vMerge w:val="restart"/>
            <w:vAlign w:val="center"/>
          </w:tcPr>
          <w:p w14:paraId="7CFA186C">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单位概况</w:t>
            </w:r>
          </w:p>
        </w:tc>
        <w:tc>
          <w:tcPr>
            <w:tcW w:w="1492" w:type="dxa"/>
            <w:vAlign w:val="center"/>
          </w:tcPr>
          <w:p w14:paraId="29A92275">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注册资本</w:t>
            </w:r>
          </w:p>
        </w:tc>
        <w:tc>
          <w:tcPr>
            <w:tcW w:w="5436" w:type="dxa"/>
            <w:gridSpan w:val="4"/>
            <w:vAlign w:val="center"/>
          </w:tcPr>
          <w:p w14:paraId="73E28A76">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p>
        </w:tc>
      </w:tr>
      <w:tr w14:paraId="116B6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731" w:type="dxa"/>
            <w:vMerge w:val="continue"/>
            <w:vAlign w:val="center"/>
          </w:tcPr>
          <w:p w14:paraId="2186FA3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p>
        </w:tc>
        <w:tc>
          <w:tcPr>
            <w:tcW w:w="6928" w:type="dxa"/>
            <w:gridSpan w:val="5"/>
            <w:vAlign w:val="center"/>
          </w:tcPr>
          <w:p w14:paraId="1560203D">
            <w:pPr>
              <w:keepNext w:val="0"/>
              <w:keepLines w:val="0"/>
              <w:pageBreakBefore w:val="0"/>
              <w:kinsoku/>
              <w:wordWrap/>
              <w:overflowPunct/>
              <w:topLinePunct w:val="0"/>
              <w:autoSpaceDE/>
              <w:autoSpaceDN/>
              <w:bidi w:val="0"/>
              <w:adjustRightInd/>
              <w:snapToGrid/>
              <w:spacing w:line="360" w:lineRule="auto"/>
              <w:ind w:firstLine="1470" w:firstLineChars="700"/>
              <w:jc w:val="both"/>
              <w:textAlignment w:val="auto"/>
              <w:rPr>
                <w:rFonts w:hint="eastAsia" w:ascii="宋体" w:hAnsi="宋体" w:eastAsia="宋体" w:cs="宋体"/>
                <w:b w:val="0"/>
                <w:bCs w:val="0"/>
                <w:i w:val="0"/>
                <w:iCs w:val="0"/>
                <w:color w:val="auto"/>
                <w:sz w:val="21"/>
                <w:szCs w:val="21"/>
                <w:highlight w:val="none"/>
                <w:u w:val="none"/>
                <w:vertAlign w:val="baseline"/>
                <w:lang w:val="en-US"/>
              </w:rPr>
            </w:pPr>
            <w:r>
              <w:rPr>
                <w:rFonts w:hint="eastAsia" w:ascii="宋体" w:hAnsi="宋体" w:eastAsia="宋体" w:cs="宋体"/>
                <w:b w:val="0"/>
                <w:bCs w:val="0"/>
                <w:i w:val="0"/>
                <w:iCs w:val="0"/>
                <w:color w:val="auto"/>
                <w:sz w:val="21"/>
                <w:szCs w:val="21"/>
                <w:highlight w:val="none"/>
                <w:u w:val="none"/>
                <w:vertAlign w:val="baseline"/>
                <w:lang w:val="en-US" w:eastAsia="zh-CN"/>
              </w:rPr>
              <w:t>职工人数：          人</w:t>
            </w:r>
          </w:p>
        </w:tc>
      </w:tr>
      <w:tr w14:paraId="3D15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731" w:type="dxa"/>
            <w:vMerge w:val="continue"/>
            <w:vAlign w:val="center"/>
          </w:tcPr>
          <w:p w14:paraId="4C705C5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p>
        </w:tc>
        <w:tc>
          <w:tcPr>
            <w:tcW w:w="1492" w:type="dxa"/>
            <w:vMerge w:val="restart"/>
            <w:vAlign w:val="center"/>
          </w:tcPr>
          <w:p w14:paraId="36107B9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其中</w:t>
            </w:r>
          </w:p>
        </w:tc>
        <w:tc>
          <w:tcPr>
            <w:tcW w:w="1785" w:type="dxa"/>
            <w:gridSpan w:val="2"/>
            <w:vAlign w:val="center"/>
          </w:tcPr>
          <w:p w14:paraId="140A703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r>
              <w:rPr>
                <w:rFonts w:hint="eastAsia" w:ascii="宋体" w:hAnsi="宋体" w:eastAsia="宋体" w:cs="宋体"/>
                <w:b w:val="0"/>
                <w:bCs w:val="0"/>
                <w:i w:val="0"/>
                <w:iCs w:val="0"/>
                <w:color w:val="auto"/>
                <w:sz w:val="21"/>
                <w:szCs w:val="21"/>
                <w:highlight w:val="none"/>
                <w:u w:val="none"/>
                <w:vertAlign w:val="baseline"/>
                <w:lang w:val="en-US" w:eastAsia="zh-CN"/>
              </w:rPr>
              <w:t>高级职称人员</w:t>
            </w:r>
          </w:p>
        </w:tc>
        <w:tc>
          <w:tcPr>
            <w:tcW w:w="3651" w:type="dxa"/>
            <w:gridSpan w:val="2"/>
            <w:vAlign w:val="center"/>
          </w:tcPr>
          <w:p w14:paraId="0442F947">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 xml:space="preserve">   人</w:t>
            </w:r>
          </w:p>
        </w:tc>
      </w:tr>
      <w:tr w14:paraId="40E3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731" w:type="dxa"/>
            <w:vMerge w:val="continue"/>
            <w:vAlign w:val="center"/>
          </w:tcPr>
          <w:p w14:paraId="5ED4C3AA">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p>
        </w:tc>
        <w:tc>
          <w:tcPr>
            <w:tcW w:w="1492" w:type="dxa"/>
            <w:vMerge w:val="continue"/>
            <w:vAlign w:val="center"/>
          </w:tcPr>
          <w:p w14:paraId="0FE0693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p>
        </w:tc>
        <w:tc>
          <w:tcPr>
            <w:tcW w:w="1785" w:type="dxa"/>
            <w:gridSpan w:val="2"/>
            <w:vAlign w:val="center"/>
          </w:tcPr>
          <w:p w14:paraId="21314CC3">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r>
              <w:rPr>
                <w:rFonts w:hint="eastAsia" w:ascii="宋体" w:hAnsi="宋体" w:eastAsia="宋体" w:cs="宋体"/>
                <w:b w:val="0"/>
                <w:bCs w:val="0"/>
                <w:i w:val="0"/>
                <w:iCs w:val="0"/>
                <w:color w:val="auto"/>
                <w:sz w:val="21"/>
                <w:szCs w:val="21"/>
                <w:highlight w:val="none"/>
                <w:u w:val="none"/>
                <w:vertAlign w:val="baseline"/>
                <w:lang w:val="en-US" w:eastAsia="zh-CN"/>
              </w:rPr>
              <w:t>中级职称人员</w:t>
            </w:r>
          </w:p>
        </w:tc>
        <w:tc>
          <w:tcPr>
            <w:tcW w:w="3651" w:type="dxa"/>
            <w:gridSpan w:val="2"/>
            <w:vAlign w:val="center"/>
          </w:tcPr>
          <w:p w14:paraId="28E37EEE">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 xml:space="preserve">   人</w:t>
            </w:r>
          </w:p>
        </w:tc>
      </w:tr>
      <w:tr w14:paraId="55B5A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731" w:type="dxa"/>
            <w:vMerge w:val="continue"/>
            <w:vAlign w:val="center"/>
          </w:tcPr>
          <w:p w14:paraId="10489CF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p>
        </w:tc>
        <w:tc>
          <w:tcPr>
            <w:tcW w:w="1492" w:type="dxa"/>
            <w:vMerge w:val="continue"/>
            <w:vAlign w:val="center"/>
          </w:tcPr>
          <w:p w14:paraId="1375A378">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p>
        </w:tc>
        <w:tc>
          <w:tcPr>
            <w:tcW w:w="1785" w:type="dxa"/>
            <w:gridSpan w:val="2"/>
            <w:vAlign w:val="center"/>
          </w:tcPr>
          <w:p w14:paraId="3D49255D">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rPr>
            </w:pPr>
            <w:r>
              <w:rPr>
                <w:rFonts w:hint="eastAsia" w:ascii="宋体" w:hAnsi="宋体" w:eastAsia="宋体" w:cs="宋体"/>
                <w:b w:val="0"/>
                <w:bCs w:val="0"/>
                <w:i w:val="0"/>
                <w:iCs w:val="0"/>
                <w:color w:val="auto"/>
                <w:sz w:val="21"/>
                <w:szCs w:val="21"/>
                <w:highlight w:val="none"/>
                <w:u w:val="none"/>
                <w:vertAlign w:val="baseline"/>
                <w:lang w:val="en-US" w:eastAsia="zh-CN"/>
              </w:rPr>
              <w:t>初级职称人员</w:t>
            </w:r>
          </w:p>
        </w:tc>
        <w:tc>
          <w:tcPr>
            <w:tcW w:w="3651" w:type="dxa"/>
            <w:gridSpan w:val="2"/>
            <w:vAlign w:val="center"/>
          </w:tcPr>
          <w:p w14:paraId="5D74A660">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i w:val="0"/>
                <w:iCs w:val="0"/>
                <w:color w:val="auto"/>
                <w:sz w:val="21"/>
                <w:szCs w:val="21"/>
                <w:highlight w:val="none"/>
                <w:u w:val="none"/>
                <w:vertAlign w:val="baseline"/>
                <w:lang w:val="en-US" w:eastAsia="zh-CN"/>
              </w:rPr>
            </w:pPr>
            <w:r>
              <w:rPr>
                <w:rFonts w:hint="eastAsia" w:ascii="宋体" w:hAnsi="宋体" w:eastAsia="宋体" w:cs="宋体"/>
                <w:b w:val="0"/>
                <w:bCs w:val="0"/>
                <w:i w:val="0"/>
                <w:iCs w:val="0"/>
                <w:color w:val="auto"/>
                <w:sz w:val="21"/>
                <w:szCs w:val="21"/>
                <w:highlight w:val="none"/>
                <w:u w:val="none"/>
                <w:vertAlign w:val="baseline"/>
                <w:lang w:val="en-US" w:eastAsia="zh-CN"/>
              </w:rPr>
              <w:t xml:space="preserve">   人</w:t>
            </w:r>
          </w:p>
        </w:tc>
      </w:tr>
    </w:tbl>
    <w:p w14:paraId="5BA4892C">
      <w:pPr>
        <w:spacing w:line="360" w:lineRule="auto"/>
        <w:jc w:val="both"/>
        <w:outlineLvl w:val="1"/>
        <w:rPr>
          <w:rStyle w:val="33"/>
          <w:rFonts w:hint="eastAsia" w:ascii="宋体" w:hAnsi="宋体" w:eastAsia="宋体" w:cs="宋体"/>
          <w:sz w:val="32"/>
          <w:szCs w:val="28"/>
          <w:lang w:val="en-US" w:eastAsia="zh-CN"/>
        </w:rPr>
      </w:pPr>
    </w:p>
    <w:bookmarkEnd w:id="10"/>
    <w:bookmarkEnd w:id="11"/>
    <w:bookmarkEnd w:id="12"/>
    <w:bookmarkEnd w:id="13"/>
    <w:p w14:paraId="62397593">
      <w:pPr>
        <w:pStyle w:val="19"/>
        <w:spacing w:line="360" w:lineRule="auto"/>
        <w:ind w:left="0" w:leftChars="0" w:firstLine="0" w:firstLineChars="0"/>
        <w:jc w:val="both"/>
        <w:outlineLvl w:val="1"/>
        <w:rPr>
          <w:rFonts w:hint="eastAsia" w:ascii="宋体" w:hAnsi="宋体" w:eastAsia="宋体" w:cs="宋体"/>
          <w:color w:val="auto"/>
          <w:sz w:val="21"/>
          <w:szCs w:val="21"/>
        </w:rPr>
      </w:pPr>
      <w:bookmarkStart w:id="14" w:name="_Toc20589"/>
      <w:bookmarkStart w:id="15" w:name="_Toc25638"/>
      <w:bookmarkStart w:id="16" w:name="_Toc12015"/>
      <w:bookmarkStart w:id="17" w:name="_Toc27661"/>
      <w:bookmarkStart w:id="18" w:name="_Toc15526"/>
      <w:bookmarkStart w:id="19" w:name="_Toc11351"/>
      <w:r>
        <w:rPr>
          <w:rStyle w:val="33"/>
          <w:rFonts w:hint="eastAsia" w:ascii="宋体" w:hAnsi="宋体" w:cs="宋体"/>
          <w:b/>
          <w:bCs/>
          <w:sz w:val="21"/>
          <w:szCs w:val="21"/>
          <w:lang w:val="en-US" w:eastAsia="zh-CN"/>
        </w:rPr>
        <w:t>五</w:t>
      </w:r>
      <w:r>
        <w:rPr>
          <w:rStyle w:val="33"/>
          <w:rFonts w:hint="eastAsia" w:ascii="宋体" w:hAnsi="宋体" w:eastAsia="宋体" w:cs="宋体"/>
          <w:b/>
          <w:bCs/>
          <w:sz w:val="21"/>
          <w:szCs w:val="21"/>
          <w:lang w:val="en-US" w:eastAsia="zh-CN"/>
        </w:rPr>
        <w:t>、</w:t>
      </w:r>
      <w:r>
        <w:rPr>
          <w:rStyle w:val="33"/>
          <w:rFonts w:hint="eastAsia" w:ascii="宋体" w:hAnsi="宋体" w:eastAsia="宋体" w:cs="宋体"/>
          <w:b/>
          <w:bCs/>
          <w:sz w:val="21"/>
          <w:szCs w:val="21"/>
        </w:rPr>
        <w:t>法定代表人身份证明书</w:t>
      </w:r>
      <w:bookmarkEnd w:id="14"/>
      <w:bookmarkEnd w:id="15"/>
      <w:bookmarkEnd w:id="16"/>
      <w:bookmarkEnd w:id="17"/>
      <w:bookmarkEnd w:id="18"/>
      <w:bookmarkEnd w:id="19"/>
    </w:p>
    <w:p w14:paraId="340A37B9">
      <w:pPr>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法定代表人证明书</w:t>
      </w:r>
    </w:p>
    <w:p w14:paraId="24B3EFF2">
      <w:pPr>
        <w:spacing w:line="480" w:lineRule="exact"/>
        <w:rPr>
          <w:rFonts w:hint="eastAsia" w:ascii="宋体" w:hAnsi="宋体" w:eastAsia="宋体" w:cs="宋体"/>
          <w:sz w:val="24"/>
        </w:rPr>
      </w:pPr>
    </w:p>
    <w:p w14:paraId="5B24AD92">
      <w:pPr>
        <w:spacing w:line="480" w:lineRule="exact"/>
        <w:ind w:firstLine="470" w:firstLineChars="196"/>
        <w:rPr>
          <w:rFonts w:hint="eastAsia" w:ascii="宋体" w:hAnsi="宋体" w:eastAsia="宋体" w:cs="宋体"/>
          <w:sz w:val="24"/>
        </w:rPr>
      </w:pPr>
    </w:p>
    <w:p w14:paraId="1D3B23AC">
      <w:pPr>
        <w:spacing w:line="480" w:lineRule="exact"/>
        <w:ind w:firstLine="468" w:firstLineChars="195"/>
        <w:rPr>
          <w:rFonts w:hint="eastAsia" w:ascii="宋体" w:hAnsi="宋体" w:eastAsia="宋体" w:cs="宋体"/>
          <w:sz w:val="24"/>
        </w:rPr>
      </w:pPr>
      <w:r>
        <w:rPr>
          <w:rFonts w:hint="eastAsia" w:ascii="宋体" w:hAnsi="宋体" w:eastAsia="宋体" w:cs="宋体"/>
          <w:sz w:val="24"/>
        </w:rPr>
        <w:t xml:space="preserve">姓名：      </w:t>
      </w:r>
      <w:r>
        <w:rPr>
          <w:rFonts w:hint="eastAsia" w:ascii="宋体" w:hAnsi="宋体" w:eastAsia="宋体" w:cs="宋体"/>
          <w:sz w:val="24"/>
          <w:lang w:val="en-US" w:eastAsia="zh-CN"/>
        </w:rPr>
        <w:t xml:space="preserve">        </w:t>
      </w:r>
      <w:r>
        <w:rPr>
          <w:rFonts w:hint="eastAsia" w:ascii="宋体" w:hAnsi="宋体" w:eastAsia="宋体" w:cs="宋体"/>
          <w:sz w:val="24"/>
        </w:rPr>
        <w:t xml:space="preserve"> 性别：       </w:t>
      </w:r>
      <w:r>
        <w:rPr>
          <w:rFonts w:hint="eastAsia" w:ascii="宋体" w:hAnsi="宋体" w:eastAsia="宋体" w:cs="宋体"/>
          <w:sz w:val="24"/>
          <w:lang w:val="en-US" w:eastAsia="zh-CN"/>
        </w:rPr>
        <w:t xml:space="preserve">      </w:t>
      </w:r>
      <w:r>
        <w:rPr>
          <w:rFonts w:hint="eastAsia" w:ascii="宋体" w:hAnsi="宋体" w:eastAsia="宋体" w:cs="宋体"/>
          <w:sz w:val="24"/>
        </w:rPr>
        <w:t xml:space="preserve"> 年龄： </w:t>
      </w:r>
    </w:p>
    <w:p w14:paraId="46F244FB">
      <w:pPr>
        <w:spacing w:line="480" w:lineRule="exact"/>
        <w:ind w:firstLine="468" w:firstLineChars="195"/>
        <w:rPr>
          <w:rFonts w:hint="eastAsia" w:ascii="宋体" w:hAnsi="宋体" w:eastAsia="宋体" w:cs="宋体"/>
          <w:sz w:val="24"/>
          <w:u w:val="single"/>
        </w:rPr>
      </w:pPr>
      <w:r>
        <w:rPr>
          <w:rFonts w:hint="eastAsia" w:ascii="宋体" w:hAnsi="宋体" w:eastAsia="宋体" w:cs="宋体"/>
          <w:sz w:val="24"/>
        </w:rPr>
        <w:t>身份证号码：</w:t>
      </w:r>
      <w:r>
        <w:rPr>
          <w:rFonts w:hint="eastAsia" w:ascii="宋体" w:hAnsi="宋体" w:eastAsia="宋体" w:cs="宋体"/>
          <w:sz w:val="24"/>
          <w:lang w:val="en-US" w:eastAsia="zh-CN"/>
        </w:rPr>
        <w:t xml:space="preserve">                           </w:t>
      </w:r>
      <w:r>
        <w:rPr>
          <w:rFonts w:hint="eastAsia" w:ascii="宋体" w:hAnsi="宋体" w:eastAsia="宋体" w:cs="宋体"/>
          <w:sz w:val="24"/>
        </w:rPr>
        <w:t xml:space="preserve">  职务：</w:t>
      </w:r>
    </w:p>
    <w:p w14:paraId="55406894">
      <w:pPr>
        <w:spacing w:line="480" w:lineRule="exact"/>
        <w:rPr>
          <w:rFonts w:hint="eastAsia" w:ascii="宋体" w:hAnsi="宋体" w:eastAsia="宋体" w:cs="宋体"/>
          <w:sz w:val="24"/>
        </w:rPr>
      </w:pPr>
    </w:p>
    <w:p w14:paraId="29386F7A">
      <w:pPr>
        <w:spacing w:line="480" w:lineRule="exact"/>
        <w:ind w:firstLine="470" w:firstLineChars="196"/>
        <w:rPr>
          <w:rFonts w:hint="eastAsia" w:ascii="宋体" w:hAnsi="宋体" w:eastAsia="宋体" w:cs="宋体"/>
          <w:sz w:val="24"/>
        </w:rPr>
      </w:pPr>
      <w:r>
        <w:rPr>
          <w:rFonts w:hint="eastAsia" w:ascii="宋体" w:hAnsi="宋体" w:eastAsia="宋体" w:cs="宋体"/>
          <w:sz w:val="24"/>
        </w:rPr>
        <w:t>系</w:t>
      </w:r>
      <w:r>
        <w:rPr>
          <w:rFonts w:hint="eastAsia" w:ascii="宋体" w:hAnsi="宋体" w:eastAsia="宋体" w:cs="宋体"/>
          <w:sz w:val="24"/>
          <w:u w:val="single"/>
        </w:rPr>
        <w:t xml:space="preserve"> </w:t>
      </w:r>
      <w:r>
        <w:rPr>
          <w:rFonts w:hint="eastAsia" w:ascii="宋体" w:hAnsi="宋体" w:eastAsia="宋体" w:cs="宋体"/>
          <w:sz w:val="24"/>
          <w:u w:val="single"/>
          <w:lang w:val="en-US" w:eastAsia="zh-CN"/>
        </w:rPr>
        <w:t xml:space="preserve">                                    </w:t>
      </w:r>
      <w:r>
        <w:rPr>
          <w:rFonts w:hint="eastAsia" w:ascii="宋体" w:hAnsi="宋体" w:eastAsia="宋体" w:cs="宋体"/>
          <w:sz w:val="24"/>
        </w:rPr>
        <w:t>的法定代表人。</w:t>
      </w:r>
    </w:p>
    <w:p w14:paraId="58F5C6D1">
      <w:pPr>
        <w:spacing w:line="480" w:lineRule="exact"/>
        <w:rPr>
          <w:rFonts w:hint="eastAsia" w:ascii="宋体" w:hAnsi="宋体" w:eastAsia="宋体" w:cs="宋体"/>
          <w:sz w:val="24"/>
        </w:rPr>
      </w:pPr>
    </w:p>
    <w:p w14:paraId="6CEA0C93">
      <w:pPr>
        <w:spacing w:line="480" w:lineRule="exact"/>
        <w:ind w:firstLine="955" w:firstLineChars="398"/>
        <w:rPr>
          <w:rFonts w:hint="eastAsia" w:ascii="宋体" w:hAnsi="宋体" w:eastAsia="宋体" w:cs="宋体"/>
          <w:sz w:val="24"/>
        </w:rPr>
      </w:pPr>
      <w:r>
        <w:rPr>
          <w:rFonts w:hint="eastAsia" w:ascii="宋体" w:hAnsi="宋体" w:eastAsia="宋体" w:cs="宋体"/>
          <w:sz w:val="24"/>
        </w:rPr>
        <w:t xml:space="preserve"> 特此证明！</w:t>
      </w:r>
    </w:p>
    <w:p w14:paraId="107CD88D">
      <w:pPr>
        <w:spacing w:line="480" w:lineRule="exact"/>
        <w:rPr>
          <w:rFonts w:hint="eastAsia" w:ascii="宋体" w:hAnsi="宋体" w:eastAsia="宋体" w:cs="宋体"/>
          <w:sz w:val="24"/>
        </w:rPr>
      </w:pPr>
    </w:p>
    <w:p w14:paraId="733698D0">
      <w:pPr>
        <w:spacing w:line="480" w:lineRule="exact"/>
        <w:rPr>
          <w:rFonts w:hint="eastAsia" w:ascii="宋体" w:hAnsi="宋体" w:eastAsia="宋体" w:cs="宋体"/>
          <w:sz w:val="24"/>
        </w:rPr>
      </w:pPr>
    </w:p>
    <w:p w14:paraId="5512A6A6">
      <w:pPr>
        <w:spacing w:line="480" w:lineRule="exact"/>
        <w:jc w:val="center"/>
        <w:rPr>
          <w:rFonts w:hint="eastAsia" w:ascii="宋体" w:hAnsi="宋体" w:eastAsia="宋体" w:cs="宋体"/>
          <w:sz w:val="24"/>
        </w:rPr>
      </w:pPr>
      <w:r>
        <w:rPr>
          <w:rFonts w:hint="eastAsia" w:ascii="宋体" w:hAnsi="宋体" w:eastAsia="宋体" w:cs="宋体"/>
          <w:sz w:val="24"/>
        </w:rPr>
        <w:t>单位（盖章）：</w:t>
      </w:r>
    </w:p>
    <w:p w14:paraId="3C9173EB">
      <w:pPr>
        <w:spacing w:line="480" w:lineRule="exact"/>
        <w:rPr>
          <w:rFonts w:hint="eastAsia" w:ascii="宋体" w:hAnsi="宋体" w:eastAsia="宋体" w:cs="宋体"/>
          <w:sz w:val="24"/>
        </w:rPr>
      </w:pPr>
      <w:r>
        <w:rPr>
          <w:rFonts w:hint="eastAsia" w:ascii="宋体" w:hAnsi="宋体" w:eastAsia="宋体" w:cs="宋体"/>
          <w:sz w:val="24"/>
        </w:rPr>
        <w:t xml:space="preserve">                          日期：</w:t>
      </w:r>
      <w:r>
        <w:rPr>
          <w:rFonts w:hint="eastAsia" w:ascii="宋体" w:hAnsi="宋体" w:eastAsia="宋体" w:cs="宋体"/>
          <w:sz w:val="24"/>
          <w:lang w:val="en-US" w:eastAsia="zh-CN"/>
        </w:rPr>
        <w:t xml:space="preserve">   </w:t>
      </w:r>
      <w:r>
        <w:rPr>
          <w:rFonts w:hint="eastAsia" w:ascii="宋体" w:hAnsi="宋体" w:eastAsia="宋体" w:cs="宋体"/>
          <w:sz w:val="24"/>
        </w:rPr>
        <w:t>年</w:t>
      </w:r>
      <w:r>
        <w:rPr>
          <w:rFonts w:hint="eastAsia" w:ascii="宋体" w:hAnsi="宋体" w:eastAsia="宋体" w:cs="宋体"/>
          <w:sz w:val="24"/>
          <w:lang w:val="en-US" w:eastAsia="zh-CN"/>
        </w:rPr>
        <w:t xml:space="preserve">   </w:t>
      </w:r>
      <w:r>
        <w:rPr>
          <w:rFonts w:hint="eastAsia" w:ascii="宋体" w:hAnsi="宋体" w:eastAsia="宋体" w:cs="宋体"/>
          <w:sz w:val="24"/>
        </w:rPr>
        <w:t>月</w:t>
      </w:r>
      <w:r>
        <w:rPr>
          <w:rFonts w:hint="eastAsia" w:ascii="宋体" w:hAnsi="宋体" w:eastAsia="宋体" w:cs="宋体"/>
          <w:sz w:val="24"/>
          <w:lang w:val="en-US" w:eastAsia="zh-CN"/>
        </w:rPr>
        <w:t xml:space="preserve">   </w:t>
      </w:r>
      <w:r>
        <w:rPr>
          <w:rFonts w:hint="eastAsia" w:ascii="宋体" w:hAnsi="宋体" w:eastAsia="宋体" w:cs="宋体"/>
          <w:sz w:val="24"/>
        </w:rPr>
        <w:t>日</w:t>
      </w:r>
    </w:p>
    <w:p w14:paraId="7A2F7521">
      <w:pPr>
        <w:spacing w:line="480" w:lineRule="exact"/>
        <w:rPr>
          <w:rFonts w:hint="eastAsia" w:ascii="宋体" w:hAnsi="宋体" w:eastAsia="宋体" w:cs="宋体"/>
          <w:b w:val="0"/>
          <w:bCs w:val="0"/>
          <w:i w:val="0"/>
          <w:iCs w:val="0"/>
          <w:color w:val="auto"/>
          <w:sz w:val="21"/>
          <w:szCs w:val="21"/>
          <w:highlight w:val="none"/>
          <w:u w:val="none"/>
          <w:lang w:eastAsia="zh-CN"/>
        </w:rPr>
      </w:pPr>
      <w:r>
        <w:rPr>
          <w:rFonts w:hint="eastAsia" w:ascii="宋体" w:hAnsi="宋体" w:eastAsia="宋体" w:cs="宋体"/>
          <w:b w:val="0"/>
          <w:bCs w:val="0"/>
          <w:i w:val="0"/>
          <w:iCs w:val="0"/>
          <w:color w:val="auto"/>
          <w:sz w:val="21"/>
          <w:szCs w:val="21"/>
          <w:highlight w:val="none"/>
          <w:u w:val="none"/>
        </w:rPr>
        <mc:AlternateContent>
          <mc:Choice Requires="wps">
            <w:drawing>
              <wp:anchor distT="0" distB="0" distL="114935" distR="114935" simplePos="0" relativeHeight="251660288" behindDoc="0" locked="0" layoutInCell="1" allowOverlap="1">
                <wp:simplePos x="0" y="0"/>
                <wp:positionH relativeFrom="column">
                  <wp:posOffset>-12700</wp:posOffset>
                </wp:positionH>
                <wp:positionV relativeFrom="paragraph">
                  <wp:posOffset>518795</wp:posOffset>
                </wp:positionV>
                <wp:extent cx="5434965" cy="2601595"/>
                <wp:effectExtent l="4445" t="4445" r="8890" b="22860"/>
                <wp:wrapSquare wrapText="bothSides"/>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5434965" cy="2601595"/>
                        </a:xfrm>
                        <a:prstGeom prst="flowChartAlternateProcess">
                          <a:avLst/>
                        </a:prstGeom>
                        <a:solidFill>
                          <a:srgbClr val="FFFFFF"/>
                        </a:solidFill>
                        <a:ln w="9525" cmpd="sng">
                          <a:solidFill>
                            <a:srgbClr val="000000"/>
                          </a:solidFill>
                          <a:miter lim="800000"/>
                        </a:ln>
                      </wps:spPr>
                      <wps:txbx>
                        <w:txbxContent>
                          <w:p w14:paraId="4993E992">
                            <w:pPr>
                              <w:jc w:val="center"/>
                              <w:rPr>
                                <w:rFonts w:hAnsi="宋体"/>
                                <w:szCs w:val="21"/>
                              </w:rPr>
                            </w:pPr>
                          </w:p>
                          <w:p w14:paraId="15E3A827">
                            <w:pPr>
                              <w:jc w:val="center"/>
                              <w:rPr>
                                <w:rFonts w:hAnsi="宋体"/>
                                <w:szCs w:val="21"/>
                              </w:rPr>
                            </w:pPr>
                          </w:p>
                          <w:p w14:paraId="08388A57">
                            <w:pPr>
                              <w:jc w:val="center"/>
                              <w:rPr>
                                <w:rFonts w:hAnsi="宋体"/>
                                <w:b w:val="0"/>
                                <w:bCs w:val="0"/>
                                <w:szCs w:val="21"/>
                              </w:rPr>
                            </w:pPr>
                          </w:p>
                          <w:p w14:paraId="3D28C51C">
                            <w:pPr>
                              <w:spacing w:line="480" w:lineRule="exact"/>
                              <w:jc w:val="center"/>
                              <w:rPr>
                                <w:rFonts w:ascii="宋体" w:hAnsi="宋体"/>
                                <w:sz w:val="24"/>
                              </w:rPr>
                            </w:pPr>
                            <w:r>
                              <w:rPr>
                                <w:rFonts w:hint="eastAsia" w:ascii="宋体" w:hAnsi="宋体"/>
                                <w:sz w:val="24"/>
                              </w:rPr>
                              <w:t>（附法定代表人身份证正、反面）</w:t>
                            </w:r>
                          </w:p>
                          <w:p w14:paraId="57ADC5B7">
                            <w:pPr>
                              <w:jc w:val="center"/>
                              <w:rPr>
                                <w:b w:val="0"/>
                                <w:bCs w:val="0"/>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pt;margin-top:40.85pt;height:204.85pt;width:427.95pt;mso-wrap-distance-bottom:0pt;mso-wrap-distance-left:9.05pt;mso-wrap-distance-right:9.05pt;mso-wrap-distance-top:0pt;z-index:251660288;mso-width-relative:page;mso-height-relative:page;" fillcolor="#FFFFFF" filled="t" stroked="t" coordsize="21600,21600" o:gfxdata="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b2+vZ2AAAAAkBAAAPAAAAAAAAAAEAIAAAACIAAABkcnMvZG93bnJldi54bWxQSwEC&#10;FAAUAAAACACHTuJAH4EtKGYCAACsBAAADgAAAAAAAAABACAAAAAnAQAAZHJzL2Uyb0RvYy54bWxQ&#10;SwUGAAAAAAYABgBZAQAA/wUAAAAA&#10;">
                <v:fill on="t" focussize="0,0"/>
                <v:stroke color="#000000" miterlimit="8" joinstyle="miter"/>
                <v:imagedata o:title=""/>
                <o:lock v:ext="edit" aspectratio="f"/>
                <v:textbox>
                  <w:txbxContent>
                    <w:p w14:paraId="4993E992">
                      <w:pPr>
                        <w:jc w:val="center"/>
                        <w:rPr>
                          <w:rFonts w:hAnsi="宋体"/>
                          <w:szCs w:val="21"/>
                        </w:rPr>
                      </w:pPr>
                    </w:p>
                    <w:p w14:paraId="15E3A827">
                      <w:pPr>
                        <w:jc w:val="center"/>
                        <w:rPr>
                          <w:rFonts w:hAnsi="宋体"/>
                          <w:szCs w:val="21"/>
                        </w:rPr>
                      </w:pPr>
                    </w:p>
                    <w:p w14:paraId="08388A57">
                      <w:pPr>
                        <w:jc w:val="center"/>
                        <w:rPr>
                          <w:rFonts w:hAnsi="宋体"/>
                          <w:b w:val="0"/>
                          <w:bCs w:val="0"/>
                          <w:szCs w:val="21"/>
                        </w:rPr>
                      </w:pPr>
                    </w:p>
                    <w:p w14:paraId="3D28C51C">
                      <w:pPr>
                        <w:spacing w:line="480" w:lineRule="exact"/>
                        <w:jc w:val="center"/>
                        <w:rPr>
                          <w:rFonts w:ascii="宋体" w:hAnsi="宋体"/>
                          <w:sz w:val="24"/>
                        </w:rPr>
                      </w:pPr>
                      <w:r>
                        <w:rPr>
                          <w:rFonts w:hint="eastAsia" w:ascii="宋体" w:hAnsi="宋体"/>
                          <w:sz w:val="24"/>
                        </w:rPr>
                        <w:t>（附法定代表人身份证正、反面）</w:t>
                      </w:r>
                    </w:p>
                    <w:p w14:paraId="57ADC5B7">
                      <w:pPr>
                        <w:jc w:val="center"/>
                        <w:rPr>
                          <w:b w:val="0"/>
                          <w:bCs w:val="0"/>
                          <w:szCs w:val="21"/>
                        </w:rPr>
                      </w:pPr>
                    </w:p>
                  </w:txbxContent>
                </v:textbox>
                <w10:wrap type="square"/>
              </v:shape>
            </w:pict>
          </mc:Fallback>
        </mc:AlternateContent>
      </w:r>
    </w:p>
    <w:p w14:paraId="45882CD7">
      <w:pPr>
        <w:pStyle w:val="27"/>
        <w:rPr>
          <w:rFonts w:hint="eastAsia" w:ascii="宋体" w:hAnsi="宋体" w:eastAsia="宋体" w:cs="宋体"/>
          <w:lang w:eastAsia="zh-CN"/>
        </w:rPr>
      </w:pPr>
    </w:p>
    <w:p w14:paraId="755C47FE">
      <w:pPr>
        <w:pStyle w:val="34"/>
        <w:spacing w:line="360" w:lineRule="auto"/>
        <w:jc w:val="center"/>
        <w:rPr>
          <w:rStyle w:val="33"/>
          <w:rFonts w:hint="eastAsia" w:ascii="宋体" w:hAnsi="宋体" w:eastAsia="宋体" w:cs="宋体"/>
          <w:b/>
          <w:bCs/>
          <w:color w:val="auto"/>
          <w:kern w:val="2"/>
          <w:sz w:val="32"/>
          <w:szCs w:val="28"/>
        </w:rPr>
      </w:pPr>
    </w:p>
    <w:p w14:paraId="172DCBCA">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2B51BB34">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241CA36E">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7BA43A6A">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26342089">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r>
        <w:rPr>
          <w:rStyle w:val="33"/>
          <w:rFonts w:hint="eastAsia" w:hAnsi="宋体" w:cs="宋体"/>
          <w:b/>
          <w:bCs/>
          <w:color w:val="auto"/>
          <w:kern w:val="2"/>
          <w:sz w:val="21"/>
          <w:szCs w:val="21"/>
          <w:lang w:val="en-US" w:eastAsia="zh-CN"/>
        </w:rPr>
        <w:t>六、法定代表人授权委托书（若法人参与遴选，则不需填写本表）</w:t>
      </w:r>
    </w:p>
    <w:p w14:paraId="549418E9">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default" w:ascii="宋体" w:hAnsi="宋体" w:cs="宋体"/>
          <w:b w:val="0"/>
          <w:bCs w:val="0"/>
          <w:color w:val="auto"/>
          <w:sz w:val="24"/>
          <w:szCs w:val="24"/>
          <w:highlight w:val="none"/>
          <w:lang w:val="en-US" w:eastAsia="zh-CN"/>
        </w:rPr>
      </w:pPr>
      <w:r>
        <w:rPr>
          <w:rFonts w:hint="eastAsia" w:ascii="宋体" w:hAnsi="宋体" w:cs="宋体"/>
          <w:b w:val="0"/>
          <w:bCs w:val="0"/>
          <w:color w:val="auto"/>
          <w:sz w:val="24"/>
          <w:szCs w:val="24"/>
          <w:highlight w:val="none"/>
          <w:lang w:val="en-US" w:eastAsia="zh-CN"/>
        </w:rPr>
        <w:t>授权委托书</w:t>
      </w:r>
    </w:p>
    <w:p w14:paraId="3B8D5EBA">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致：</w:t>
      </w:r>
      <w:r>
        <w:rPr>
          <w:rFonts w:hint="eastAsia" w:ascii="宋体" w:hAnsi="宋体" w:cs="宋体"/>
          <w:b w:val="0"/>
          <w:bCs w:val="0"/>
          <w:color w:val="auto"/>
          <w:sz w:val="24"/>
          <w:szCs w:val="24"/>
          <w:highlight w:val="none"/>
          <w:lang w:eastAsia="zh-CN"/>
        </w:rPr>
        <w:t>中山市小榄人民医院</w:t>
      </w:r>
    </w:p>
    <w:p w14:paraId="3B5261C4">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兹授权</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同志，为我方签订经济合同及办理其他事务代理人，其权限是：</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w:t>
      </w:r>
    </w:p>
    <w:p w14:paraId="5DE33B4C">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 xml:space="preserve">授权单位（盖章）：  </w:t>
      </w:r>
    </w:p>
    <w:p w14:paraId="6A44ABEA">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cs="宋体"/>
          <w:b w:val="0"/>
          <w:bCs w:val="0"/>
          <w:color w:val="auto"/>
          <w:sz w:val="24"/>
          <w:szCs w:val="24"/>
          <w:highlight w:val="none"/>
        </w:rPr>
        <w:t>法定代表人</w:t>
      </w:r>
      <w:r>
        <w:rPr>
          <w:rFonts w:hint="eastAsia" w:ascii="宋体" w:hAnsi="宋体"/>
          <w:b w:val="0"/>
          <w:bCs w:val="0"/>
          <w:color w:val="auto"/>
          <w:sz w:val="24"/>
          <w:szCs w:val="24"/>
          <w:highlight w:val="none"/>
        </w:rPr>
        <w:t>（签名或盖私章）：</w:t>
      </w:r>
    </w:p>
    <w:p w14:paraId="34DCD072">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日期：</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日</w:t>
      </w:r>
    </w:p>
    <w:p w14:paraId="1CF3D57D">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附：代理人性别：        年龄：       职务：         身份证号码：</w:t>
      </w:r>
    </w:p>
    <w:p w14:paraId="642A9EEC">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rPr>
        <w:t>联系电话：</w:t>
      </w:r>
    </w:p>
    <w:p w14:paraId="176D91F0">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统一社会信用代码：</w:t>
      </w:r>
    </w:p>
    <w:p w14:paraId="29FE4BD3">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说明：1、</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法定代表人</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为企业事业单位、国家机关、社会团体的主要行政负责人。</w:t>
      </w:r>
    </w:p>
    <w:p w14:paraId="7422E859">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b w:val="0"/>
          <w:bCs w:val="0"/>
          <w:color w:val="auto"/>
          <w:sz w:val="24"/>
          <w:szCs w:val="24"/>
          <w:highlight w:val="none"/>
        </w:rPr>
        <w:t>2、此处所述“法定代表人”，须与</w:t>
      </w:r>
      <w:r>
        <w:rPr>
          <w:rFonts w:hint="eastAsia" w:ascii="宋体" w:hAnsi="宋体"/>
          <w:b w:val="0"/>
          <w:bCs w:val="0"/>
          <w:color w:val="auto"/>
          <w:sz w:val="24"/>
          <w:szCs w:val="24"/>
          <w:highlight w:val="none"/>
          <w:lang w:eastAsia="zh-CN"/>
        </w:rPr>
        <w:t>服务商</w:t>
      </w:r>
      <w:r>
        <w:rPr>
          <w:rFonts w:hint="eastAsia" w:ascii="宋体" w:hAnsi="宋体"/>
          <w:b w:val="0"/>
          <w:bCs w:val="0"/>
          <w:color w:val="auto"/>
          <w:sz w:val="24"/>
          <w:szCs w:val="24"/>
          <w:highlight w:val="none"/>
        </w:rPr>
        <w:t>“营业执照”上的内容一致。</w:t>
      </w:r>
    </w:p>
    <w:p w14:paraId="6F24C98A">
      <w:pPr>
        <w:keepNext w:val="0"/>
        <w:keepLines w:val="0"/>
        <w:pageBreakBefore w:val="0"/>
        <w:shd w:val="clear"/>
        <w:kinsoku/>
        <w:wordWrap/>
        <w:overflowPunct/>
        <w:topLinePunct w:val="0"/>
        <w:autoSpaceDE/>
        <w:autoSpaceDN/>
        <w:bidi w:val="0"/>
        <w:adjustRightInd/>
        <w:snapToGrid/>
        <w:spacing w:line="360" w:lineRule="auto"/>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      3、内容必须填写真实、清楚、涂改无效，不得转让、买卖。</w:t>
      </w:r>
    </w:p>
    <w:p w14:paraId="63E4A0C1">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4、将此证明书提交对方作为合同附件。</w:t>
      </w:r>
    </w:p>
    <w:p w14:paraId="0EC43178">
      <w:pPr>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5、授权权限：全权代表本公司参与上述</w:t>
      </w:r>
      <w:r>
        <w:rPr>
          <w:rFonts w:hint="eastAsia" w:ascii="宋体" w:hAnsi="宋体" w:cs="宋体"/>
          <w:b w:val="0"/>
          <w:bCs w:val="0"/>
          <w:color w:val="auto"/>
          <w:sz w:val="24"/>
          <w:szCs w:val="24"/>
          <w:highlight w:val="none"/>
          <w:lang w:val="en-US" w:eastAsia="zh-CN"/>
        </w:rPr>
        <w:t>遴选</w:t>
      </w:r>
      <w:r>
        <w:rPr>
          <w:rFonts w:hint="eastAsia" w:ascii="宋体" w:hAnsi="宋体" w:cs="宋体"/>
          <w:b w:val="0"/>
          <w:bCs w:val="0"/>
          <w:color w:val="auto"/>
          <w:sz w:val="24"/>
          <w:szCs w:val="24"/>
          <w:highlight w:val="none"/>
        </w:rPr>
        <w:t>项目的报价，负责提供与签署确认一切文书资料，以及向贵方递交的任何补充承诺。</w:t>
      </w:r>
    </w:p>
    <w:p w14:paraId="52C76EF1">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6、签字代表为法定代表人，则本表不适用。</w:t>
      </w:r>
    </w:p>
    <w:p w14:paraId="10A9D0F7">
      <w:pPr>
        <w:pStyle w:val="7"/>
        <w:keepNext w:val="0"/>
        <w:keepLines w:val="0"/>
        <w:pageBreakBefore w:val="0"/>
        <w:shd w:val="clear"/>
        <w:kinsoku/>
        <w:wordWrap/>
        <w:overflowPunct/>
        <w:topLinePunct w:val="0"/>
        <w:autoSpaceDE/>
        <w:autoSpaceDN/>
        <w:bidi w:val="0"/>
        <w:adjustRightInd/>
        <w:snapToGrid/>
        <w:spacing w:line="360" w:lineRule="auto"/>
        <w:ind w:firstLine="720" w:firstLineChars="300"/>
        <w:textAlignment w:val="auto"/>
        <w:rPr>
          <w:rFonts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7、身份证复印件或扫描件须在有效期内。</w:t>
      </w:r>
    </w:p>
    <w:p w14:paraId="09C4A2C8">
      <w:pPr>
        <w:keepNext w:val="0"/>
        <w:keepLines w:val="0"/>
        <w:pageBreakBefore w:val="0"/>
        <w:shd w:val="clear"/>
        <w:kinsoku/>
        <w:wordWrap/>
        <w:overflowPunct/>
        <w:topLinePunct w:val="0"/>
        <w:autoSpaceDE/>
        <w:autoSpaceDN/>
        <w:bidi w:val="0"/>
        <w:adjustRightInd/>
        <w:snapToGrid/>
        <w:spacing w:line="360" w:lineRule="auto"/>
        <w:ind w:firstLine="736" w:firstLineChars="307"/>
        <w:textAlignment w:val="auto"/>
        <w:rPr>
          <w:b w:val="0"/>
          <w:bCs w:val="0"/>
          <w:color w:val="auto"/>
          <w:sz w:val="21"/>
          <w:szCs w:val="21"/>
          <w:highlight w:val="none"/>
        </w:rPr>
      </w:pPr>
      <w:r>
        <w:rPr>
          <w:rFonts w:hint="eastAsia" w:ascii="宋体" w:hAnsi="宋体" w:cs="宋体"/>
          <w:b w:val="0"/>
          <w:bCs w:val="0"/>
          <w:color w:val="auto"/>
          <w:sz w:val="24"/>
          <w:szCs w:val="24"/>
          <w:highlight w:val="none"/>
        </w:rPr>
        <w:t>8、有效</w:t>
      </w:r>
      <w:r>
        <w:rPr>
          <w:rFonts w:hint="eastAsia" w:ascii="宋体" w:hAnsi="宋体"/>
          <w:b w:val="0"/>
          <w:bCs w:val="0"/>
          <w:color w:val="auto"/>
          <w:sz w:val="24"/>
          <w:szCs w:val="24"/>
          <w:highlight w:val="none"/>
        </w:rPr>
        <w:t>期限：与本公司</w:t>
      </w:r>
      <w:r>
        <w:rPr>
          <w:rFonts w:hint="eastAsia" w:ascii="宋体" w:hAnsi="宋体"/>
          <w:b w:val="0"/>
          <w:bCs w:val="0"/>
          <w:color w:val="auto"/>
          <w:sz w:val="24"/>
          <w:szCs w:val="24"/>
          <w:highlight w:val="none"/>
          <w:lang w:val="en-US" w:eastAsia="zh-CN"/>
        </w:rPr>
        <w:t>响应文件中选</w:t>
      </w:r>
      <w:r>
        <w:rPr>
          <w:rFonts w:hint="eastAsia" w:ascii="宋体" w:hAnsi="宋体"/>
          <w:b w:val="0"/>
          <w:bCs w:val="0"/>
          <w:color w:val="auto"/>
          <w:sz w:val="24"/>
          <w:szCs w:val="24"/>
          <w:highlight w:val="none"/>
        </w:rPr>
        <w:t>注的</w:t>
      </w:r>
      <w:r>
        <w:rPr>
          <w:rFonts w:hint="eastAsia" w:ascii="宋体" w:hAnsi="宋体"/>
          <w:b w:val="0"/>
          <w:bCs w:val="0"/>
          <w:color w:val="auto"/>
          <w:sz w:val="24"/>
          <w:szCs w:val="24"/>
          <w:highlight w:val="none"/>
          <w:lang w:val="en-US" w:eastAsia="zh-CN"/>
        </w:rPr>
        <w:t>响应</w:t>
      </w:r>
      <w:r>
        <w:rPr>
          <w:rFonts w:hint="eastAsia" w:ascii="宋体" w:hAnsi="宋体"/>
          <w:b w:val="0"/>
          <w:bCs w:val="0"/>
          <w:color w:val="auto"/>
          <w:sz w:val="24"/>
          <w:szCs w:val="24"/>
          <w:highlight w:val="none"/>
        </w:rPr>
        <w:t>有效期相同，自本单位盖公章之日起生效。</w:t>
      </w:r>
    </w:p>
    <w:p w14:paraId="0E4CE7E6">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ascii="宋体" w:hAnsi="宋体" w:cs="宋体"/>
          <w:b w:val="0"/>
          <w:bCs w:val="0"/>
          <w:i w:val="0"/>
          <w:iCs w:val="0"/>
          <w:color w:val="auto"/>
          <w:sz w:val="21"/>
          <w:szCs w:val="21"/>
          <w:highlight w:val="none"/>
          <w:u w:val="none"/>
        </w:rPr>
      </w:pPr>
      <w:r>
        <w:rPr>
          <w:rFonts w:ascii="宋体" w:hAnsi="宋体" w:cs="宋体"/>
          <w:b w:val="0"/>
          <w:bCs w:val="0"/>
          <w:i w:val="0"/>
          <w:iCs w:val="0"/>
          <w:color w:val="auto"/>
          <w:sz w:val="21"/>
          <w:szCs w:val="21"/>
          <w:highlight w:val="none"/>
          <w:u w:val="none"/>
        </w:rPr>
        <mc:AlternateContent>
          <mc:Choice Requires="wps">
            <w:drawing>
              <wp:inline distT="0" distB="0" distL="114935" distR="114935">
                <wp:extent cx="5789295" cy="2158365"/>
                <wp:effectExtent l="4445" t="4445" r="16510" b="8890"/>
                <wp:docPr id="6" name="流程图: 可选过程 6"/>
                <wp:cNvGraphicFramePr/>
                <a:graphic xmlns:a="http://schemas.openxmlformats.org/drawingml/2006/main">
                  <a:graphicData uri="http://schemas.microsoft.com/office/word/2010/wordprocessingShape">
                    <wps:wsp>
                      <wps:cNvSpPr>
                        <a:spLocks noChangeArrowheads="1"/>
                      </wps:cNvSpPr>
                      <wps:spPr bwMode="auto">
                        <a:xfrm>
                          <a:off x="0" y="0"/>
                          <a:ext cx="5789295" cy="2158365"/>
                        </a:xfrm>
                        <a:prstGeom prst="flowChartAlternateProcess">
                          <a:avLst/>
                        </a:prstGeom>
                        <a:solidFill>
                          <a:srgbClr val="FFFFFF"/>
                        </a:solidFill>
                        <a:ln w="9525" cmpd="sng">
                          <a:solidFill>
                            <a:srgbClr val="000000"/>
                          </a:solidFill>
                          <a:miter lim="800000"/>
                        </a:ln>
                      </wps:spPr>
                      <wps:txbx>
                        <w:txbxContent>
                          <w:p w14:paraId="3F8724F4">
                            <w:pPr>
                              <w:jc w:val="center"/>
                              <w:rPr>
                                <w:rFonts w:hAnsi="宋体"/>
                                <w:szCs w:val="21"/>
                              </w:rPr>
                            </w:pPr>
                          </w:p>
                          <w:p w14:paraId="265B1981">
                            <w:pPr>
                              <w:jc w:val="center"/>
                              <w:rPr>
                                <w:rFonts w:hAnsi="宋体"/>
                                <w:szCs w:val="21"/>
                              </w:rPr>
                            </w:pPr>
                          </w:p>
                          <w:p w14:paraId="2CCF14C7">
                            <w:pPr>
                              <w:jc w:val="center"/>
                              <w:rPr>
                                <w:rFonts w:hAnsi="宋体"/>
                                <w:b w:val="0"/>
                                <w:bCs w:val="0"/>
                                <w:szCs w:val="21"/>
                              </w:rPr>
                            </w:pPr>
                          </w:p>
                          <w:p w14:paraId="2975D6EF">
                            <w:pPr>
                              <w:jc w:val="center"/>
                              <w:rPr>
                                <w:b w:val="0"/>
                                <w:bCs w:val="0"/>
                                <w:szCs w:val="21"/>
                              </w:rPr>
                            </w:pPr>
                            <w:r>
                              <w:rPr>
                                <w:rFonts w:hint="eastAsia" w:hAnsi="宋体"/>
                                <w:b w:val="0"/>
                                <w:bCs w:val="0"/>
                                <w:szCs w:val="21"/>
                                <w:lang w:val="en-US" w:eastAsia="zh-CN"/>
                              </w:rPr>
                              <w:t>受托人</w:t>
                            </w:r>
                            <w:r>
                              <w:rPr>
                                <w:rFonts w:hint="eastAsia" w:hAnsi="宋体"/>
                                <w:b w:val="0"/>
                                <w:bCs w:val="0"/>
                                <w:szCs w:val="21"/>
                              </w:rPr>
                              <w:t>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wps:txbx>
                      <wps:bodyPr rot="0" vert="horz" wrap="square" lIns="91440" tIns="45720" rIns="91440" bIns="45720" anchor="t" anchorCtr="0" upright="1">
                        <a:noAutofit/>
                      </wps:bodyPr>
                    </wps:wsp>
                  </a:graphicData>
                </a:graphic>
              </wp:inline>
            </w:drawing>
          </mc:Choice>
          <mc:Fallback>
            <w:pict>
              <v:shape id="_x0000_s1026" o:spid="_x0000_s1026" o:spt="176" type="#_x0000_t176" style="height:169.95pt;width:455.85pt;" fillcolor="#FFFFFF" filled="t" stroked="t" coordsize="21600,21600" o:gfxdata="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5HSDC1QAAAAUBAAAPAAAAAAAAAAEAIAAAACIAAABkcnMvZG93bnJldi54bWxQSwECFAAU&#10;AAAACACHTuJAM64ShGYCAACsBAAADgAAAAAAAAABACAAAAAkAQAAZHJzL2Uyb0RvYy54bWxQSwUG&#10;AAAAAAYABgBZAQAA/AUAAAAA&#10;">
                <v:fill on="t" focussize="0,0"/>
                <v:stroke color="#000000" miterlimit="8" joinstyle="miter"/>
                <v:imagedata o:title=""/>
                <o:lock v:ext="edit" aspectratio="f"/>
                <v:textbox>
                  <w:txbxContent>
                    <w:p w14:paraId="3F8724F4">
                      <w:pPr>
                        <w:jc w:val="center"/>
                        <w:rPr>
                          <w:rFonts w:hAnsi="宋体"/>
                          <w:szCs w:val="21"/>
                        </w:rPr>
                      </w:pPr>
                    </w:p>
                    <w:p w14:paraId="265B1981">
                      <w:pPr>
                        <w:jc w:val="center"/>
                        <w:rPr>
                          <w:rFonts w:hAnsi="宋体"/>
                          <w:szCs w:val="21"/>
                        </w:rPr>
                      </w:pPr>
                    </w:p>
                    <w:p w14:paraId="2CCF14C7">
                      <w:pPr>
                        <w:jc w:val="center"/>
                        <w:rPr>
                          <w:rFonts w:hAnsi="宋体"/>
                          <w:b w:val="0"/>
                          <w:bCs w:val="0"/>
                          <w:szCs w:val="21"/>
                        </w:rPr>
                      </w:pPr>
                    </w:p>
                    <w:p w14:paraId="2975D6EF">
                      <w:pPr>
                        <w:jc w:val="center"/>
                        <w:rPr>
                          <w:b w:val="0"/>
                          <w:bCs w:val="0"/>
                          <w:szCs w:val="21"/>
                        </w:rPr>
                      </w:pPr>
                      <w:r>
                        <w:rPr>
                          <w:rFonts w:hint="eastAsia" w:hAnsi="宋体"/>
                          <w:b w:val="0"/>
                          <w:bCs w:val="0"/>
                          <w:szCs w:val="21"/>
                          <w:lang w:val="en-US" w:eastAsia="zh-CN"/>
                        </w:rPr>
                        <w:t>受托人</w:t>
                      </w:r>
                      <w:r>
                        <w:rPr>
                          <w:rFonts w:hint="eastAsia" w:hAnsi="宋体"/>
                          <w:b w:val="0"/>
                          <w:bCs w:val="0"/>
                          <w:szCs w:val="21"/>
                        </w:rPr>
                        <w:t>身</w:t>
                      </w:r>
                      <w:r>
                        <w:rPr>
                          <w:rFonts w:hint="eastAsia" w:ascii="宋体" w:hAnsi="宋体" w:cs="宋体"/>
                          <w:b w:val="0"/>
                          <w:bCs w:val="0"/>
                          <w:szCs w:val="21"/>
                        </w:rPr>
                        <w:t>份证正面</w:t>
                      </w:r>
                      <w:r>
                        <w:rPr>
                          <w:rFonts w:hint="eastAsia" w:ascii="宋体" w:hAnsi="宋体" w:cs="宋体"/>
                          <w:b w:val="0"/>
                          <w:bCs w:val="0"/>
                          <w:szCs w:val="21"/>
                          <w:lang w:val="en-US" w:eastAsia="zh-CN"/>
                        </w:rPr>
                        <w:t>和</w:t>
                      </w:r>
                      <w:r>
                        <w:rPr>
                          <w:rFonts w:hint="eastAsia" w:ascii="宋体" w:hAnsi="宋体" w:cs="宋体"/>
                          <w:b w:val="0"/>
                          <w:bCs w:val="0"/>
                          <w:szCs w:val="21"/>
                        </w:rPr>
                        <w:t>反面</w:t>
                      </w:r>
                      <w:r>
                        <w:rPr>
                          <w:rFonts w:hint="eastAsia" w:hAnsi="宋体"/>
                          <w:b w:val="0"/>
                          <w:bCs w:val="0"/>
                          <w:szCs w:val="21"/>
                        </w:rPr>
                        <w:t>复印件</w:t>
                      </w:r>
                    </w:p>
                  </w:txbxContent>
                </v:textbox>
                <w10:wrap type="none"/>
                <w10:anchorlock/>
              </v:shape>
            </w:pict>
          </mc:Fallback>
        </mc:AlternateContent>
      </w:r>
    </w:p>
    <w:p w14:paraId="194C0819">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r>
        <w:rPr>
          <w:rStyle w:val="33"/>
          <w:rFonts w:hint="eastAsia" w:hAnsi="宋体" w:cs="宋体"/>
          <w:b/>
          <w:bCs/>
          <w:color w:val="auto"/>
          <w:kern w:val="2"/>
          <w:sz w:val="21"/>
          <w:szCs w:val="21"/>
          <w:lang w:val="en-US" w:eastAsia="zh-CN"/>
        </w:rPr>
        <w:t>七、无围标、串标行为声明函</w:t>
      </w:r>
    </w:p>
    <w:p w14:paraId="6C1D69BC">
      <w:pPr>
        <w:spacing w:line="360" w:lineRule="auto"/>
        <w:ind w:firstLine="2880" w:firstLineChars="1200"/>
        <w:rPr>
          <w:rFonts w:hint="eastAsia" w:ascii="宋体" w:hAnsi="宋体" w:eastAsia="宋体" w:cs="宋体"/>
          <w:sz w:val="24"/>
          <w:lang w:val="en-US" w:eastAsia="zh-CN"/>
        </w:rPr>
      </w:pPr>
      <w:r>
        <w:rPr>
          <w:rFonts w:hint="eastAsia" w:ascii="宋体" w:hAnsi="宋体" w:eastAsia="宋体" w:cs="宋体"/>
          <w:sz w:val="24"/>
          <w:lang w:val="en-US" w:eastAsia="zh-CN"/>
        </w:rPr>
        <w:t>无围标、串标行为声明函</w:t>
      </w:r>
    </w:p>
    <w:p w14:paraId="703E6F68">
      <w:pPr>
        <w:rPr>
          <w:rFonts w:hint="eastAsia" w:ascii="宋体" w:hAnsi="宋体" w:eastAsia="宋体" w:cs="宋体"/>
        </w:rPr>
      </w:pPr>
    </w:p>
    <w:p w14:paraId="356E4D7E">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rPr>
        <w:t>本公司郑重</w:t>
      </w:r>
      <w:r>
        <w:rPr>
          <w:rFonts w:hint="eastAsia" w:ascii="宋体" w:hAnsi="宋体" w:eastAsia="宋体" w:cs="宋体"/>
          <w:sz w:val="24"/>
          <w:lang w:eastAsia="zh-CN"/>
        </w:rPr>
        <w:t>声明</w:t>
      </w:r>
      <w:r>
        <w:rPr>
          <w:rFonts w:hint="eastAsia" w:ascii="宋体" w:hAnsi="宋体" w:eastAsia="宋体" w:cs="宋体"/>
          <w:sz w:val="24"/>
        </w:rPr>
        <w:t>本公司在参加本次</w:t>
      </w:r>
      <w:r>
        <w:rPr>
          <w:rFonts w:hint="eastAsia" w:ascii="宋体" w:hAnsi="宋体" w:eastAsia="宋体" w:cs="宋体"/>
          <w:sz w:val="24"/>
          <w:u w:val="single"/>
        </w:rPr>
        <w:t>中山市小榄人民医院食堂经营遴选项目</w:t>
      </w:r>
      <w:r>
        <w:rPr>
          <w:rFonts w:hint="eastAsia" w:ascii="宋体" w:hAnsi="宋体" w:eastAsia="宋体" w:cs="宋体"/>
          <w:sz w:val="24"/>
        </w:rPr>
        <w:t>，无以下围标、串标行为</w:t>
      </w:r>
      <w:r>
        <w:rPr>
          <w:rFonts w:hint="eastAsia" w:ascii="宋体" w:hAnsi="宋体" w:eastAsia="宋体" w:cs="宋体"/>
          <w:sz w:val="24"/>
          <w:lang w:eastAsia="zh-CN"/>
        </w:rPr>
        <w:t>：</w:t>
      </w:r>
    </w:p>
    <w:p w14:paraId="764D776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w:t>
      </w:r>
      <w:r>
        <w:rPr>
          <w:rFonts w:hint="eastAsia" w:ascii="宋体" w:hAnsi="宋体" w:eastAsia="宋体" w:cs="宋体"/>
          <w:sz w:val="24"/>
          <w:lang w:eastAsia="zh-CN"/>
        </w:rPr>
        <w:t>服务商</w:t>
      </w:r>
      <w:r>
        <w:rPr>
          <w:rFonts w:hint="eastAsia" w:ascii="宋体" w:hAnsi="宋体" w:eastAsia="宋体" w:cs="宋体"/>
          <w:sz w:val="24"/>
        </w:rPr>
        <w:t>的</w:t>
      </w:r>
      <w:r>
        <w:rPr>
          <w:rFonts w:hint="eastAsia" w:ascii="宋体" w:hAnsi="宋体" w:cs="宋体"/>
          <w:sz w:val="24"/>
          <w:lang w:val="en-US" w:eastAsia="zh-CN"/>
        </w:rPr>
        <w:t>响应文件</w:t>
      </w:r>
      <w:r>
        <w:rPr>
          <w:rFonts w:hint="eastAsia" w:ascii="宋体" w:hAnsi="宋体" w:eastAsia="宋体" w:cs="宋体"/>
          <w:sz w:val="24"/>
        </w:rPr>
        <w:t>由同一单位或者个人编制；</w:t>
      </w:r>
    </w:p>
    <w:p w14:paraId="56CA0DA3">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w:t>
      </w:r>
      <w:r>
        <w:rPr>
          <w:rFonts w:hint="eastAsia" w:ascii="宋体" w:hAnsi="宋体" w:eastAsia="宋体" w:cs="宋体"/>
          <w:sz w:val="24"/>
          <w:lang w:eastAsia="zh-CN"/>
        </w:rPr>
        <w:t>服务商</w:t>
      </w:r>
      <w:r>
        <w:rPr>
          <w:rFonts w:hint="eastAsia" w:ascii="宋体" w:hAnsi="宋体" w:eastAsia="宋体" w:cs="宋体"/>
          <w:sz w:val="24"/>
        </w:rPr>
        <w:t>委托同一单位或者个人办理响应事宜；</w:t>
      </w:r>
    </w:p>
    <w:p w14:paraId="67A669BC">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w:t>
      </w:r>
      <w:r>
        <w:rPr>
          <w:rFonts w:hint="eastAsia" w:ascii="宋体" w:hAnsi="宋体" w:eastAsia="宋体" w:cs="宋体"/>
          <w:sz w:val="24"/>
          <w:lang w:eastAsia="zh-CN"/>
        </w:rPr>
        <w:t>服务商</w:t>
      </w:r>
      <w:r>
        <w:rPr>
          <w:rFonts w:hint="eastAsia" w:ascii="宋体" w:hAnsi="宋体" w:eastAsia="宋体" w:cs="宋体"/>
          <w:sz w:val="24"/>
        </w:rPr>
        <w:t>的</w:t>
      </w:r>
      <w:r>
        <w:rPr>
          <w:rFonts w:hint="eastAsia" w:ascii="宋体" w:hAnsi="宋体" w:cs="宋体"/>
          <w:sz w:val="24"/>
          <w:lang w:eastAsia="zh-CN"/>
        </w:rPr>
        <w:t>响应文件</w:t>
      </w:r>
      <w:r>
        <w:rPr>
          <w:rFonts w:hint="eastAsia" w:ascii="宋体" w:hAnsi="宋体" w:eastAsia="宋体" w:cs="宋体"/>
          <w:sz w:val="24"/>
        </w:rPr>
        <w:t>载明的项目管理成员或者联系人员为同一人；</w:t>
      </w:r>
    </w:p>
    <w:p w14:paraId="28D289C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w:t>
      </w:r>
      <w:r>
        <w:rPr>
          <w:rFonts w:hint="eastAsia" w:ascii="宋体" w:hAnsi="宋体" w:eastAsia="宋体" w:cs="宋体"/>
          <w:sz w:val="24"/>
          <w:lang w:eastAsia="zh-CN"/>
        </w:rPr>
        <w:t>服务商</w:t>
      </w:r>
      <w:r>
        <w:rPr>
          <w:rFonts w:hint="eastAsia" w:ascii="宋体" w:hAnsi="宋体" w:eastAsia="宋体" w:cs="宋体"/>
          <w:sz w:val="24"/>
        </w:rPr>
        <w:t>的</w:t>
      </w:r>
      <w:r>
        <w:rPr>
          <w:rFonts w:hint="eastAsia" w:ascii="宋体" w:hAnsi="宋体" w:cs="宋体"/>
          <w:sz w:val="24"/>
          <w:lang w:eastAsia="zh-CN"/>
        </w:rPr>
        <w:t>响应文件</w:t>
      </w:r>
      <w:r>
        <w:rPr>
          <w:rFonts w:hint="eastAsia" w:ascii="宋体" w:hAnsi="宋体" w:eastAsia="宋体" w:cs="宋体"/>
          <w:sz w:val="24"/>
        </w:rPr>
        <w:t>异常一致或者响应报价呈规律性差异；</w:t>
      </w:r>
    </w:p>
    <w:p w14:paraId="33AC8ECE">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w:t>
      </w:r>
      <w:r>
        <w:rPr>
          <w:rFonts w:hint="eastAsia" w:ascii="宋体" w:hAnsi="宋体" w:eastAsia="宋体" w:cs="宋体"/>
          <w:sz w:val="24"/>
          <w:lang w:eastAsia="zh-CN"/>
        </w:rPr>
        <w:t>服务商</w:t>
      </w:r>
      <w:r>
        <w:rPr>
          <w:rFonts w:hint="eastAsia" w:ascii="宋体" w:hAnsi="宋体" w:eastAsia="宋体" w:cs="宋体"/>
          <w:sz w:val="24"/>
        </w:rPr>
        <w:t>的</w:t>
      </w:r>
      <w:r>
        <w:rPr>
          <w:rFonts w:hint="eastAsia" w:ascii="宋体" w:hAnsi="宋体" w:cs="宋体"/>
          <w:sz w:val="24"/>
          <w:lang w:eastAsia="zh-CN"/>
        </w:rPr>
        <w:t>响应文件</w:t>
      </w:r>
      <w:r>
        <w:rPr>
          <w:rFonts w:hint="eastAsia" w:ascii="宋体" w:hAnsi="宋体" w:eastAsia="宋体" w:cs="宋体"/>
          <w:sz w:val="24"/>
        </w:rPr>
        <w:t>相互混装；</w:t>
      </w:r>
    </w:p>
    <w:p w14:paraId="3A14A860">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不同</w:t>
      </w:r>
      <w:r>
        <w:rPr>
          <w:rFonts w:hint="eastAsia" w:ascii="宋体" w:hAnsi="宋体" w:eastAsia="宋体" w:cs="宋体"/>
          <w:sz w:val="24"/>
          <w:lang w:eastAsia="zh-CN"/>
        </w:rPr>
        <w:t>服务商</w:t>
      </w:r>
      <w:r>
        <w:rPr>
          <w:rFonts w:hint="eastAsia" w:ascii="宋体" w:hAnsi="宋体" w:eastAsia="宋体" w:cs="宋体"/>
          <w:sz w:val="24"/>
        </w:rPr>
        <w:t>的董事、监事、高管、单位负责人为同一人或者存在控股、管理关系的不同单位参加同一包组项目；</w:t>
      </w:r>
    </w:p>
    <w:p w14:paraId="292012A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i w:val="0"/>
          <w:iCs w:val="0"/>
          <w:caps w:val="0"/>
          <w:color w:val="auto"/>
          <w:spacing w:val="0"/>
          <w:kern w:val="0"/>
          <w:sz w:val="24"/>
          <w:szCs w:val="24"/>
          <w:shd w:val="clear" w:color="auto" w:fill="FFFFFF"/>
          <w:lang w:val="en-US" w:eastAsia="zh-CN" w:bidi="ar"/>
        </w:rPr>
        <w:t>单位负责人为同一人或者存在直接控股、管理关系的不同参选公司，不得同时参加本项目。</w:t>
      </w:r>
    </w:p>
    <w:p w14:paraId="2990852D">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845" w:leftChars="200" w:hanging="425" w:firstLineChars="0"/>
        <w:textAlignment w:val="auto"/>
        <w:rPr>
          <w:rFonts w:hint="eastAsia" w:ascii="宋体" w:hAnsi="宋体" w:eastAsia="宋体" w:cs="宋体"/>
          <w:sz w:val="24"/>
        </w:rPr>
      </w:pPr>
      <w:r>
        <w:rPr>
          <w:rFonts w:hint="eastAsia" w:ascii="宋体" w:hAnsi="宋体" w:eastAsia="宋体" w:cs="宋体"/>
          <w:sz w:val="24"/>
        </w:rPr>
        <w:t>法律法规界定的其他围标串标行为。</w:t>
      </w:r>
    </w:p>
    <w:p w14:paraId="3A3EC6DD">
      <w:pPr>
        <w:spacing w:line="360" w:lineRule="auto"/>
        <w:rPr>
          <w:rFonts w:hint="eastAsia" w:ascii="宋体" w:hAnsi="宋体" w:eastAsia="宋体" w:cs="宋体"/>
          <w:sz w:val="24"/>
        </w:rPr>
      </w:pPr>
    </w:p>
    <w:p w14:paraId="0B5A2E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如有发现我公司存在围标、串标行为，我公司愿承担一切法律责任。</w:t>
      </w:r>
    </w:p>
    <w:p w14:paraId="17A578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rPr>
      </w:pPr>
      <w:r>
        <w:rPr>
          <w:rFonts w:hint="eastAsia" w:ascii="宋体" w:hAnsi="宋体" w:eastAsia="宋体" w:cs="宋体"/>
          <w:sz w:val="24"/>
        </w:rPr>
        <w:t>特此</w:t>
      </w:r>
      <w:r>
        <w:rPr>
          <w:rFonts w:hint="eastAsia" w:ascii="宋体" w:hAnsi="宋体" w:eastAsia="宋体" w:cs="宋体"/>
          <w:sz w:val="24"/>
          <w:lang w:eastAsia="zh-CN"/>
        </w:rPr>
        <w:t>声明</w:t>
      </w:r>
      <w:r>
        <w:rPr>
          <w:rFonts w:hint="eastAsia" w:ascii="宋体" w:hAnsi="宋体" w:eastAsia="宋体" w:cs="宋体"/>
          <w:sz w:val="24"/>
        </w:rPr>
        <w:t>。</w:t>
      </w:r>
    </w:p>
    <w:p w14:paraId="6977FA6F">
      <w:pPr>
        <w:spacing w:before="156" w:beforeLines="50" w:after="156" w:afterLines="50" w:line="360" w:lineRule="auto"/>
        <w:ind w:firstLine="480" w:firstLineChars="200"/>
        <w:rPr>
          <w:rFonts w:hint="eastAsia" w:ascii="宋体" w:hAnsi="宋体" w:eastAsia="宋体" w:cs="宋体"/>
          <w:sz w:val="24"/>
        </w:rPr>
      </w:pPr>
    </w:p>
    <w:p w14:paraId="738C6FD5">
      <w:pPr>
        <w:spacing w:before="156" w:beforeLines="50" w:after="156" w:afterLines="50" w:line="360" w:lineRule="auto"/>
        <w:rPr>
          <w:rFonts w:hint="eastAsia" w:ascii="宋体" w:hAnsi="宋体" w:eastAsia="宋体" w:cs="宋体"/>
          <w:sz w:val="24"/>
          <w:vertAlign w:val="baseline"/>
        </w:rPr>
      </w:pPr>
      <w:r>
        <w:rPr>
          <w:rFonts w:hint="eastAsia" w:ascii="宋体" w:hAnsi="宋体" w:eastAsia="宋体" w:cs="宋体"/>
          <w:sz w:val="24"/>
        </w:rPr>
        <w:t xml:space="preserve">                    </w:t>
      </w:r>
    </w:p>
    <w:p w14:paraId="15B40E19">
      <w:pPr>
        <w:spacing w:before="156" w:beforeLines="50" w:after="156" w:afterLines="50" w:line="360" w:lineRule="auto"/>
        <w:rPr>
          <w:rFonts w:hint="eastAsia"/>
        </w:rPr>
      </w:pPr>
      <w:r>
        <w:rPr>
          <w:rFonts w:hint="eastAsia" w:ascii="宋体" w:hAnsi="宋体" w:eastAsia="宋体" w:cs="宋体"/>
          <w:sz w:val="24"/>
          <w:lang w:eastAsia="zh-CN"/>
        </w:rPr>
        <w:t>服务商</w:t>
      </w:r>
      <w:r>
        <w:rPr>
          <w:rFonts w:hint="eastAsia" w:ascii="宋体" w:hAnsi="宋体" w:eastAsia="宋体" w:cs="宋体"/>
          <w:sz w:val="24"/>
        </w:rPr>
        <w:t>名称（加盖公章）：</w:t>
      </w:r>
    </w:p>
    <w:p w14:paraId="57D81DA7">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法定代表人或其委托人签字：</w:t>
      </w:r>
    </w:p>
    <w:p w14:paraId="6E0AD129">
      <w:pPr>
        <w:spacing w:before="156" w:beforeLines="50" w:after="156" w:afterLines="50" w:line="360" w:lineRule="auto"/>
        <w:rPr>
          <w:rFonts w:hint="eastAsia" w:ascii="宋体" w:hAnsi="宋体" w:eastAsia="宋体" w:cs="宋体"/>
          <w:sz w:val="24"/>
        </w:rPr>
      </w:pPr>
      <w:r>
        <w:rPr>
          <w:rFonts w:hint="eastAsia" w:ascii="宋体" w:hAnsi="宋体" w:eastAsia="宋体" w:cs="宋体"/>
          <w:sz w:val="24"/>
        </w:rPr>
        <w:t>日期：</w:t>
      </w:r>
      <w:r>
        <w:rPr>
          <w:rFonts w:hint="eastAsia" w:ascii="宋体" w:hAnsi="宋体" w:cs="宋体"/>
          <w:sz w:val="24"/>
          <w:lang w:val="en-US" w:eastAsia="zh-CN"/>
        </w:rPr>
        <w:t xml:space="preserve">     </w:t>
      </w:r>
      <w:r>
        <w:rPr>
          <w:rFonts w:hint="eastAsia" w:ascii="宋体" w:hAnsi="宋体" w:eastAsia="宋体" w:cs="宋体"/>
          <w:sz w:val="24"/>
        </w:rPr>
        <w:t xml:space="preserve"> 年 </w:t>
      </w:r>
      <w:r>
        <w:rPr>
          <w:rFonts w:hint="eastAsia" w:ascii="宋体" w:hAnsi="宋体" w:cs="宋体"/>
          <w:sz w:val="24"/>
          <w:lang w:val="en-US" w:eastAsia="zh-CN"/>
        </w:rPr>
        <w:t xml:space="preserve">   </w:t>
      </w:r>
      <w:r>
        <w:rPr>
          <w:rFonts w:hint="eastAsia" w:ascii="宋体" w:hAnsi="宋体" w:eastAsia="宋体" w:cs="宋体"/>
          <w:sz w:val="24"/>
        </w:rPr>
        <w:t>月</w:t>
      </w:r>
      <w:r>
        <w:rPr>
          <w:rFonts w:hint="eastAsia" w:ascii="宋体" w:hAnsi="宋体" w:cs="宋体"/>
          <w:sz w:val="24"/>
          <w:lang w:val="en-US" w:eastAsia="zh-CN"/>
        </w:rPr>
        <w:t xml:space="preserve">   </w:t>
      </w:r>
      <w:r>
        <w:rPr>
          <w:rFonts w:hint="eastAsia" w:ascii="宋体" w:hAnsi="宋体" w:eastAsia="宋体" w:cs="宋体"/>
          <w:sz w:val="24"/>
        </w:rPr>
        <w:t>日</w:t>
      </w:r>
    </w:p>
    <w:p w14:paraId="1D93E4FB">
      <w:pPr>
        <w:widowControl w:val="0"/>
        <w:numPr>
          <w:ilvl w:val="0"/>
          <w:numId w:val="0"/>
        </w:numPr>
        <w:tabs>
          <w:tab w:val="left" w:pos="420"/>
        </w:tabs>
        <w:jc w:val="both"/>
        <w:rPr>
          <w:rFonts w:hint="eastAsia" w:ascii="宋体" w:hAnsi="宋体" w:eastAsia="宋体" w:cs="宋体"/>
          <w:b w:val="0"/>
          <w:bCs/>
          <w:color w:val="auto"/>
          <w:sz w:val="24"/>
          <w:szCs w:val="24"/>
          <w:highlight w:val="none"/>
        </w:rPr>
      </w:pPr>
    </w:p>
    <w:p w14:paraId="5A12D8EA">
      <w:pPr>
        <w:pStyle w:val="27"/>
        <w:rPr>
          <w:rFonts w:hint="eastAsia" w:ascii="宋体" w:hAnsi="宋体" w:eastAsia="宋体" w:cs="宋体"/>
          <w:b w:val="0"/>
          <w:bCs/>
          <w:color w:val="auto"/>
          <w:sz w:val="24"/>
          <w:szCs w:val="24"/>
          <w:highlight w:val="none"/>
        </w:rPr>
      </w:pPr>
    </w:p>
    <w:p w14:paraId="2E936E87">
      <w:pPr>
        <w:keepNext w:val="0"/>
        <w:keepLines w:val="0"/>
        <w:pageBreakBefore w:val="0"/>
        <w:shd w:val="clear"/>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32"/>
          <w:szCs w:val="32"/>
        </w:rPr>
      </w:pPr>
      <w:r>
        <w:rPr>
          <w:rFonts w:hint="eastAsia" w:ascii="宋体" w:hAnsi="宋体" w:eastAsia="宋体" w:cs="宋体"/>
          <w:color w:val="auto"/>
          <w:sz w:val="32"/>
          <w:szCs w:val="32"/>
        </w:rPr>
        <w:br w:type="page"/>
      </w:r>
      <w:bookmarkStart w:id="20" w:name="_Toc16435"/>
      <w:bookmarkStart w:id="21" w:name="_Toc12967"/>
      <w:bookmarkStart w:id="22" w:name="_Toc23967"/>
      <w:bookmarkStart w:id="23" w:name="_Toc2041"/>
      <w:bookmarkStart w:id="24" w:name="_Toc1074"/>
      <w:bookmarkStart w:id="25" w:name="_Toc26969"/>
    </w:p>
    <w:p w14:paraId="2AAA2EED">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ascii="Times New Roman" w:hAnsi="宋体" w:eastAsia="宋体" w:cs="宋体"/>
          <w:b/>
          <w:bCs/>
          <w:color w:val="auto"/>
          <w:kern w:val="2"/>
          <w:sz w:val="21"/>
          <w:szCs w:val="21"/>
          <w:lang w:val="en-US" w:eastAsia="zh-CN"/>
        </w:rPr>
        <w:sectPr>
          <w:pgSz w:w="11900" w:h="16840"/>
          <w:pgMar w:top="1440" w:right="1800" w:bottom="1440" w:left="1800" w:header="0" w:footer="567" w:gutter="0"/>
          <w:cols w:space="720" w:num="1"/>
        </w:sectPr>
      </w:pPr>
      <w:r>
        <w:rPr>
          <w:rStyle w:val="33"/>
          <w:rFonts w:hint="eastAsia" w:hAnsi="宋体" w:cs="宋体"/>
          <w:b/>
          <w:bCs/>
          <w:color w:val="auto"/>
          <w:kern w:val="2"/>
          <w:sz w:val="21"/>
          <w:szCs w:val="21"/>
          <w:lang w:val="en-US" w:eastAsia="zh-CN"/>
        </w:rPr>
        <w:t>八</w:t>
      </w:r>
      <w:r>
        <w:rPr>
          <w:rStyle w:val="33"/>
          <w:rFonts w:hint="eastAsia" w:ascii="Times New Roman" w:hAnsi="宋体" w:eastAsia="宋体" w:cs="宋体"/>
          <w:b/>
          <w:bCs/>
          <w:color w:val="auto"/>
          <w:kern w:val="2"/>
          <w:sz w:val="21"/>
          <w:szCs w:val="21"/>
          <w:lang w:val="en-US" w:eastAsia="zh-CN"/>
        </w:rPr>
        <w:t>、具有良好的商业信誉和健全的财务会计制度：提供2024度财务状况报告扫描件；或报名截止日前6个月内任意1个月的财务报表扫描件或基本开户行出具的资信证明扫描件。</w:t>
      </w:r>
    </w:p>
    <w:p w14:paraId="16633113">
      <w:pPr>
        <w:keepNext w:val="0"/>
        <w:keepLines w:val="0"/>
        <w:pageBreakBefore w:val="0"/>
        <w:shd w:val="clear"/>
        <w:kinsoku/>
        <w:wordWrap/>
        <w:overflowPunct/>
        <w:topLinePunct w:val="0"/>
        <w:autoSpaceDE/>
        <w:autoSpaceDN/>
        <w:bidi w:val="0"/>
        <w:adjustRightInd/>
        <w:snapToGrid/>
        <w:spacing w:line="360" w:lineRule="auto"/>
        <w:jc w:val="left"/>
        <w:textAlignment w:val="auto"/>
        <w:rPr>
          <w:rStyle w:val="33"/>
          <w:rFonts w:hint="eastAsia" w:ascii="Times New Roman" w:hAnsi="宋体" w:eastAsia="宋体" w:cs="宋体"/>
          <w:b/>
          <w:bCs/>
          <w:color w:val="auto"/>
          <w:kern w:val="2"/>
          <w:sz w:val="21"/>
          <w:szCs w:val="21"/>
          <w:lang w:val="en-US" w:eastAsia="zh-CN"/>
        </w:rPr>
        <w:sectPr>
          <w:pgSz w:w="11900" w:h="16840"/>
          <w:pgMar w:top="1440" w:right="1800" w:bottom="1440" w:left="1800" w:header="0" w:footer="567" w:gutter="0"/>
          <w:cols w:space="720" w:num="1"/>
        </w:sectPr>
      </w:pPr>
      <w:r>
        <w:rPr>
          <w:rStyle w:val="33"/>
          <w:rFonts w:hint="eastAsia" w:hAnsi="宋体" w:cs="宋体"/>
          <w:b/>
          <w:bCs/>
          <w:color w:val="auto"/>
          <w:kern w:val="2"/>
          <w:sz w:val="21"/>
          <w:szCs w:val="21"/>
          <w:lang w:val="en-US" w:eastAsia="zh-CN"/>
        </w:rPr>
        <w:t>九</w:t>
      </w:r>
      <w:r>
        <w:rPr>
          <w:rStyle w:val="33"/>
          <w:rFonts w:hint="eastAsia" w:ascii="Times New Roman" w:hAnsi="宋体" w:eastAsia="宋体" w:cs="宋体"/>
          <w:b/>
          <w:bCs/>
          <w:color w:val="auto"/>
          <w:kern w:val="2"/>
          <w:sz w:val="21"/>
          <w:szCs w:val="21"/>
          <w:lang w:val="en-US" w:eastAsia="zh-CN"/>
        </w:rPr>
        <w:t>、近6个月内任何时间的</w:t>
      </w:r>
      <w:r>
        <w:rPr>
          <w:rStyle w:val="33"/>
          <w:rFonts w:hint="eastAsia" w:ascii="Times New Roman" w:hAnsi="宋体" w:eastAsia="宋体" w:cs="宋体"/>
          <w:b/>
          <w:bCs/>
          <w:color w:val="auto"/>
          <w:kern w:val="2"/>
          <w:sz w:val="21"/>
          <w:szCs w:val="21"/>
          <w:highlight w:val="yellow"/>
          <w:lang w:val="en-US" w:eastAsia="zh-CN"/>
        </w:rPr>
        <w:t>纳税证明资料复印件</w:t>
      </w:r>
      <w:r>
        <w:rPr>
          <w:rStyle w:val="33"/>
          <w:rFonts w:hint="eastAsia" w:ascii="Times New Roman" w:hAnsi="宋体" w:eastAsia="宋体" w:cs="宋体"/>
          <w:b/>
          <w:bCs/>
          <w:color w:val="auto"/>
          <w:kern w:val="2"/>
          <w:sz w:val="21"/>
          <w:szCs w:val="21"/>
          <w:lang w:val="en-US" w:eastAsia="zh-CN"/>
        </w:rPr>
        <w:t>，如依法免税的，应提供相应文件证明</w:t>
      </w:r>
    </w:p>
    <w:p w14:paraId="5F050789">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ascii="Times New Roman" w:hAnsi="宋体" w:eastAsia="宋体" w:cs="宋体"/>
          <w:b/>
          <w:bCs/>
          <w:color w:val="auto"/>
          <w:kern w:val="2"/>
          <w:sz w:val="21"/>
          <w:szCs w:val="21"/>
          <w:lang w:val="en-US" w:eastAsia="zh-CN"/>
        </w:rPr>
        <w:sectPr>
          <w:pgSz w:w="11900" w:h="16840"/>
          <w:pgMar w:top="1440" w:right="1800" w:bottom="1440" w:left="1800" w:header="0" w:footer="567" w:gutter="0"/>
          <w:cols w:space="720" w:num="1"/>
        </w:sectPr>
      </w:pPr>
      <w:r>
        <w:rPr>
          <w:rStyle w:val="33"/>
          <w:rFonts w:hint="eastAsia" w:hAnsi="宋体" w:cs="宋体"/>
          <w:b/>
          <w:bCs/>
          <w:color w:val="auto"/>
          <w:kern w:val="2"/>
          <w:sz w:val="21"/>
          <w:szCs w:val="21"/>
          <w:lang w:val="en-US" w:eastAsia="zh-CN"/>
        </w:rPr>
        <w:t>十</w:t>
      </w:r>
      <w:r>
        <w:rPr>
          <w:rStyle w:val="33"/>
          <w:rFonts w:hint="eastAsia" w:ascii="Times New Roman" w:hAnsi="宋体" w:eastAsia="宋体" w:cs="宋体"/>
          <w:b/>
          <w:bCs/>
          <w:color w:val="auto"/>
          <w:kern w:val="2"/>
          <w:sz w:val="21"/>
          <w:szCs w:val="21"/>
          <w:lang w:val="en-US" w:eastAsia="zh-CN"/>
        </w:rPr>
        <w:t>、近6个月内任何时间的</w:t>
      </w:r>
      <w:r>
        <w:rPr>
          <w:rStyle w:val="33"/>
          <w:rFonts w:hint="eastAsia" w:ascii="Times New Roman" w:hAnsi="宋体" w:eastAsia="宋体" w:cs="宋体"/>
          <w:b/>
          <w:bCs/>
          <w:color w:val="auto"/>
          <w:kern w:val="2"/>
          <w:sz w:val="21"/>
          <w:szCs w:val="21"/>
          <w:highlight w:val="yellow"/>
          <w:lang w:val="en-US" w:eastAsia="zh-CN"/>
        </w:rPr>
        <w:t>缴交社保证明资料复印件</w:t>
      </w:r>
      <w:r>
        <w:rPr>
          <w:rStyle w:val="33"/>
          <w:rFonts w:hint="eastAsia" w:ascii="Times New Roman" w:hAnsi="宋体" w:eastAsia="宋体" w:cs="宋体"/>
          <w:b/>
          <w:bCs/>
          <w:color w:val="auto"/>
          <w:kern w:val="2"/>
          <w:sz w:val="21"/>
          <w:szCs w:val="21"/>
          <w:lang w:val="en-US" w:eastAsia="zh-CN"/>
        </w:rPr>
        <w:t>，如依法不需要缴纳社会保障资金的，应提供相应文件证明</w:t>
      </w:r>
    </w:p>
    <w:p w14:paraId="74445C86">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ascii="Times New Roman" w:hAnsi="宋体" w:eastAsia="宋体" w:cs="宋体"/>
          <w:b/>
          <w:bCs/>
          <w:color w:val="auto"/>
          <w:kern w:val="2"/>
          <w:sz w:val="21"/>
          <w:szCs w:val="21"/>
          <w:lang w:val="en-US" w:eastAsia="zh-CN"/>
        </w:rPr>
        <w:sectPr>
          <w:pgSz w:w="11900" w:h="16840"/>
          <w:pgMar w:top="1440" w:right="1800" w:bottom="1440" w:left="1800" w:header="0" w:footer="567" w:gutter="0"/>
          <w:cols w:space="720" w:num="1"/>
        </w:sectPr>
      </w:pPr>
      <w:r>
        <w:rPr>
          <w:rStyle w:val="33"/>
          <w:rFonts w:hint="eastAsia" w:ascii="Times New Roman" w:hAnsi="宋体" w:eastAsia="宋体" w:cs="宋体"/>
          <w:b/>
          <w:bCs/>
          <w:color w:val="auto"/>
          <w:kern w:val="2"/>
          <w:sz w:val="21"/>
          <w:szCs w:val="21"/>
          <w:lang w:val="en-US" w:eastAsia="zh-CN"/>
        </w:rPr>
        <w:t>十</w:t>
      </w:r>
      <w:r>
        <w:rPr>
          <w:rStyle w:val="33"/>
          <w:rFonts w:hint="eastAsia" w:hAnsi="宋体" w:cs="宋体"/>
          <w:b/>
          <w:bCs/>
          <w:color w:val="auto"/>
          <w:kern w:val="2"/>
          <w:sz w:val="21"/>
          <w:szCs w:val="21"/>
          <w:lang w:val="en-US" w:eastAsia="zh-CN"/>
        </w:rPr>
        <w:t>一</w:t>
      </w:r>
      <w:r>
        <w:rPr>
          <w:rStyle w:val="33"/>
          <w:rFonts w:hint="eastAsia" w:ascii="Times New Roman" w:hAnsi="宋体" w:eastAsia="宋体" w:cs="宋体"/>
          <w:b/>
          <w:bCs/>
          <w:color w:val="auto"/>
          <w:kern w:val="2"/>
          <w:sz w:val="21"/>
          <w:szCs w:val="21"/>
          <w:lang w:val="en-US" w:eastAsia="zh-CN"/>
        </w:rPr>
        <w:t>、履行合同所必需的设备和专业技术能力：提供“具有履行合同所必需的设备和专业技术能力”的声明或承诺，或提供“具有设备和专业技术能力（人员）”的相关证明资料，或提供《设备和专业技术能力（人员）情况表》（格式自拟）。</w:t>
      </w:r>
    </w:p>
    <w:p w14:paraId="5628D5A7">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ascii="Times New Roman" w:hAnsi="宋体" w:eastAsia="宋体" w:cs="宋体"/>
          <w:b/>
          <w:bCs/>
          <w:color w:val="auto"/>
          <w:kern w:val="2"/>
          <w:sz w:val="21"/>
          <w:szCs w:val="21"/>
          <w:lang w:val="en-US" w:eastAsia="zh-CN"/>
        </w:rPr>
        <w:sectPr>
          <w:pgSz w:w="11900" w:h="16840"/>
          <w:pgMar w:top="1440" w:right="1800" w:bottom="1440" w:left="1800" w:header="0" w:footer="567" w:gutter="0"/>
          <w:cols w:space="720" w:num="1"/>
        </w:sectPr>
      </w:pPr>
      <w:r>
        <w:rPr>
          <w:rStyle w:val="33"/>
          <w:rFonts w:hint="eastAsia" w:ascii="Times New Roman" w:hAnsi="宋体" w:eastAsia="宋体" w:cs="宋体"/>
          <w:b/>
          <w:bCs/>
          <w:color w:val="auto"/>
          <w:kern w:val="2"/>
          <w:sz w:val="21"/>
          <w:szCs w:val="21"/>
          <w:lang w:val="en-US" w:eastAsia="zh-CN"/>
        </w:rPr>
        <w:t>十</w:t>
      </w:r>
      <w:r>
        <w:rPr>
          <w:rStyle w:val="33"/>
          <w:rFonts w:hint="eastAsia" w:hAnsi="宋体" w:cs="宋体"/>
          <w:b/>
          <w:bCs/>
          <w:color w:val="auto"/>
          <w:kern w:val="2"/>
          <w:sz w:val="21"/>
          <w:szCs w:val="21"/>
          <w:lang w:val="en-US" w:eastAsia="zh-CN"/>
        </w:rPr>
        <w:t>二</w:t>
      </w:r>
      <w:r>
        <w:rPr>
          <w:rStyle w:val="33"/>
          <w:rFonts w:hint="eastAsia" w:ascii="Times New Roman" w:hAnsi="宋体" w:eastAsia="宋体" w:cs="宋体"/>
          <w:b/>
          <w:bCs/>
          <w:color w:val="auto"/>
          <w:kern w:val="2"/>
          <w:sz w:val="21"/>
          <w:szCs w:val="21"/>
          <w:lang w:val="en-US" w:eastAsia="zh-CN"/>
        </w:rPr>
        <w:t>、参加本次遴选活动前三年内，在经营活动中没有重大违法记录。 重大违法记录，是指供应商因违法经营受到刑事处罚或者责令停产停业、吊销许可证或者执照、较大数额罚款等行政处罚。若服务商同时</w:t>
      </w:r>
      <w:r>
        <w:rPr>
          <w:rStyle w:val="33"/>
          <w:rFonts w:hint="eastAsia" w:ascii="Times New Roman" w:hAnsi="宋体" w:eastAsia="宋体" w:cs="宋体"/>
          <w:b/>
          <w:bCs/>
          <w:color w:val="auto"/>
          <w:kern w:val="2"/>
          <w:sz w:val="21"/>
          <w:szCs w:val="21"/>
          <w:highlight w:val="yellow"/>
          <w:lang w:val="en-US" w:eastAsia="zh-CN"/>
        </w:rPr>
        <w:t>提供承诺函</w:t>
      </w:r>
      <w:r>
        <w:rPr>
          <w:rStyle w:val="33"/>
          <w:rFonts w:hint="eastAsia" w:ascii="Times New Roman" w:hAnsi="宋体" w:eastAsia="宋体" w:cs="宋体"/>
          <w:b/>
          <w:bCs/>
          <w:color w:val="auto"/>
          <w:kern w:val="2"/>
          <w:sz w:val="21"/>
          <w:szCs w:val="21"/>
          <w:lang w:val="en-US" w:eastAsia="zh-CN"/>
        </w:rPr>
        <w:t>和证明材料的，资格审查时以证明材料为准。（根据财库〔2022〕3号文，“较大数额罚款”认定为200万元以上的罚款，法律、行政法规以及国务院有关部门明确规定相关领域“较大数额罚款”标准高于200万元的，从其规定）</w:t>
      </w:r>
    </w:p>
    <w:p w14:paraId="03B993E3">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ascii="Times New Roman" w:hAnsi="宋体" w:eastAsia="宋体" w:cs="宋体"/>
          <w:b/>
          <w:bCs/>
          <w:color w:val="FF0000"/>
          <w:kern w:val="2"/>
          <w:sz w:val="21"/>
          <w:szCs w:val="21"/>
          <w:lang w:val="en-US" w:eastAsia="zh-CN"/>
        </w:rPr>
        <w:sectPr>
          <w:pgSz w:w="11900" w:h="16840"/>
          <w:pgMar w:top="1440" w:right="1800" w:bottom="1440" w:left="1800" w:header="0" w:footer="567" w:gutter="0"/>
          <w:cols w:space="720" w:num="1"/>
        </w:sectPr>
      </w:pPr>
      <w:r>
        <w:rPr>
          <w:rFonts w:hint="eastAsia" w:ascii="Times New Roman" w:hAnsi="宋体" w:eastAsia="宋体" w:cs="宋体"/>
          <w:b/>
          <w:bCs/>
          <w:color w:val="auto"/>
          <w:kern w:val="2"/>
          <w:sz w:val="21"/>
          <w:szCs w:val="21"/>
          <w:lang w:val="en-US" w:eastAsia="zh-CN" w:bidi="ar-SA"/>
        </w:rPr>
        <w:t>十</w:t>
      </w:r>
      <w:r>
        <w:rPr>
          <w:rFonts w:hint="eastAsia" w:hAnsi="宋体" w:cs="宋体"/>
          <w:b/>
          <w:bCs/>
          <w:color w:val="auto"/>
          <w:kern w:val="2"/>
          <w:sz w:val="21"/>
          <w:szCs w:val="21"/>
          <w:lang w:val="en-US" w:eastAsia="zh-CN" w:bidi="ar-SA"/>
        </w:rPr>
        <w:t>三</w:t>
      </w:r>
      <w:r>
        <w:rPr>
          <w:rFonts w:hint="eastAsia" w:ascii="Times New Roman" w:hAnsi="宋体" w:eastAsia="宋体" w:cs="宋体"/>
          <w:b/>
          <w:bCs/>
          <w:color w:val="auto"/>
          <w:kern w:val="2"/>
          <w:sz w:val="21"/>
          <w:szCs w:val="21"/>
          <w:lang w:val="en-US" w:eastAsia="zh-CN" w:bidi="ar-SA"/>
        </w:rPr>
        <w:t>、</w:t>
      </w:r>
      <w:r>
        <w:rPr>
          <w:rStyle w:val="33"/>
          <w:rFonts w:hint="eastAsia" w:hAnsi="宋体" w:cs="宋体"/>
          <w:b/>
          <w:bCs/>
          <w:color w:val="auto"/>
          <w:kern w:val="2"/>
          <w:sz w:val="21"/>
          <w:szCs w:val="21"/>
          <w:lang w:val="en-US" w:eastAsia="zh-CN"/>
        </w:rPr>
        <w:t>服务商未被列入“信用中国”网站(www.creditchina.gov.cn)“</w:t>
      </w:r>
      <w:r>
        <w:rPr>
          <w:rStyle w:val="33"/>
          <w:rFonts w:hint="eastAsia" w:hAnsi="宋体" w:cs="宋体"/>
          <w:b/>
          <w:bCs/>
          <w:color w:val="auto"/>
          <w:kern w:val="2"/>
          <w:sz w:val="21"/>
          <w:szCs w:val="21"/>
          <w:highlight w:val="yellow"/>
          <w:lang w:val="en-US" w:eastAsia="zh-CN"/>
        </w:rPr>
        <w:t>记录失信被执行人</w:t>
      </w:r>
      <w:r>
        <w:rPr>
          <w:rStyle w:val="33"/>
          <w:rFonts w:hint="eastAsia" w:hAnsi="宋体" w:cs="宋体"/>
          <w:b/>
          <w:bCs/>
          <w:color w:val="auto"/>
          <w:kern w:val="2"/>
          <w:sz w:val="21"/>
          <w:szCs w:val="21"/>
          <w:lang w:val="en-US" w:eastAsia="zh-CN"/>
        </w:rPr>
        <w:t>或</w:t>
      </w:r>
      <w:r>
        <w:rPr>
          <w:rStyle w:val="33"/>
          <w:rFonts w:hint="eastAsia" w:hAnsi="宋体" w:cs="宋体"/>
          <w:b/>
          <w:bCs/>
          <w:color w:val="auto"/>
          <w:kern w:val="2"/>
          <w:sz w:val="21"/>
          <w:szCs w:val="21"/>
          <w:highlight w:val="yellow"/>
          <w:lang w:val="en-US" w:eastAsia="zh-CN"/>
        </w:rPr>
        <w:t>重大税收违法案件当事人名单</w:t>
      </w:r>
      <w:r>
        <w:rPr>
          <w:rStyle w:val="33"/>
          <w:rFonts w:hint="eastAsia" w:hAnsi="宋体" w:cs="宋体"/>
          <w:b/>
          <w:bCs/>
          <w:color w:val="auto"/>
          <w:kern w:val="2"/>
          <w:sz w:val="21"/>
          <w:szCs w:val="21"/>
          <w:lang w:val="en-US" w:eastAsia="zh-CN"/>
        </w:rPr>
        <w:t>；不处于中国政府采购网(www.ccgp.gov.cn)“</w:t>
      </w:r>
      <w:r>
        <w:rPr>
          <w:rStyle w:val="33"/>
          <w:rFonts w:hint="eastAsia" w:hAnsi="宋体" w:cs="宋体"/>
          <w:b/>
          <w:bCs/>
          <w:color w:val="auto"/>
          <w:kern w:val="2"/>
          <w:sz w:val="21"/>
          <w:szCs w:val="21"/>
          <w:highlight w:val="yellow"/>
          <w:lang w:val="en-US" w:eastAsia="zh-CN"/>
        </w:rPr>
        <w:t>政府采购严重违法失信行为信息记录</w:t>
      </w:r>
      <w:r>
        <w:rPr>
          <w:rStyle w:val="33"/>
          <w:rFonts w:hint="eastAsia" w:hAnsi="宋体" w:cs="宋体"/>
          <w:b/>
          <w:bCs/>
          <w:color w:val="auto"/>
          <w:kern w:val="2"/>
          <w:sz w:val="21"/>
          <w:szCs w:val="21"/>
          <w:lang w:val="en-US" w:eastAsia="zh-CN"/>
        </w:rPr>
        <w:t>”中的禁止参加政府采购活动期间。</w:t>
      </w:r>
      <w:r>
        <w:rPr>
          <w:rStyle w:val="33"/>
          <w:rFonts w:hint="eastAsia" w:ascii="Times New Roman" w:hAnsi="宋体" w:eastAsia="宋体" w:cs="宋体"/>
          <w:b/>
          <w:bCs/>
          <w:color w:val="FF0000"/>
          <w:kern w:val="2"/>
          <w:sz w:val="21"/>
          <w:szCs w:val="21"/>
          <w:lang w:val="en-US" w:eastAsia="zh-CN"/>
        </w:rPr>
        <w:t>（</w:t>
      </w:r>
      <w:r>
        <w:rPr>
          <w:rFonts w:hint="eastAsia" w:ascii="宋体" w:hAnsi="宋体"/>
          <w:b w:val="0"/>
          <w:bCs w:val="0"/>
          <w:color w:val="auto"/>
          <w:sz w:val="21"/>
          <w:szCs w:val="21"/>
          <w:highlight w:val="none"/>
        </w:rPr>
        <w:t>以“信用中国”网站（www.creditchina.gov.cn）及中国政府采购网(www.ccgp.gov.cn)查询结果为准，如在上述网站查询结果均显示没有相关记录，视为没有上述不良信用记录,</w:t>
      </w:r>
      <w:r>
        <w:rPr>
          <w:rStyle w:val="33"/>
          <w:rFonts w:hint="eastAsia" w:ascii="Times New Roman" w:hAnsi="宋体" w:eastAsia="宋体" w:cs="宋体"/>
          <w:b/>
          <w:bCs/>
          <w:color w:val="FF0000"/>
          <w:kern w:val="2"/>
          <w:sz w:val="21"/>
          <w:szCs w:val="21"/>
          <w:lang w:val="en-US" w:eastAsia="zh-CN"/>
        </w:rPr>
        <w:t>提供以上截图）</w:t>
      </w:r>
    </w:p>
    <w:p w14:paraId="5F3F7C2F">
      <w:pPr>
        <w:numPr>
          <w:ilvl w:val="0"/>
          <w:numId w:val="0"/>
        </w:numPr>
        <w:rPr>
          <w:rFonts w:hint="eastAsia"/>
          <w:b/>
          <w:bCs/>
        </w:rPr>
      </w:pPr>
      <w:r>
        <w:rPr>
          <w:rFonts w:hint="eastAsia" w:asciiTheme="minorHAnsi" w:hAnsiTheme="minorHAnsi" w:eastAsiaTheme="minorEastAsia" w:cstheme="minorBidi"/>
          <w:b/>
          <w:bCs/>
          <w:kern w:val="2"/>
          <w:sz w:val="21"/>
          <w:szCs w:val="22"/>
          <w:lang w:val="en-US" w:eastAsia="zh-CN" w:bidi="ar-SA"/>
        </w:rPr>
        <w:t>十四、</w:t>
      </w:r>
      <w:r>
        <w:rPr>
          <w:rFonts w:hint="eastAsia"/>
          <w:b/>
          <w:bCs/>
        </w:rPr>
        <w:t>拟任</w:t>
      </w:r>
      <w:r>
        <w:rPr>
          <w:rFonts w:hint="eastAsia"/>
          <w:b/>
          <w:bCs/>
          <w:lang w:val="en-US" w:eastAsia="zh-CN"/>
        </w:rPr>
        <w:t>本项目负责人</w:t>
      </w:r>
      <w:r>
        <w:rPr>
          <w:rFonts w:hint="eastAsia"/>
          <w:b/>
          <w:bCs/>
        </w:rPr>
        <w:t>及</w:t>
      </w:r>
      <w:r>
        <w:rPr>
          <w:rFonts w:hint="eastAsia"/>
          <w:b/>
          <w:bCs/>
          <w:lang w:val="en-US" w:eastAsia="zh-CN"/>
        </w:rPr>
        <w:t>其他主管</w:t>
      </w:r>
      <w:r>
        <w:rPr>
          <w:rFonts w:hint="eastAsia"/>
          <w:b/>
          <w:bCs/>
        </w:rPr>
        <w:t>人员情况</w:t>
      </w:r>
    </w:p>
    <w:tbl>
      <w:tblPr>
        <w:tblStyle w:val="21"/>
        <w:tblW w:w="9783"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37"/>
        <w:gridCol w:w="826"/>
        <w:gridCol w:w="825"/>
        <w:gridCol w:w="825"/>
        <w:gridCol w:w="997"/>
        <w:gridCol w:w="1534"/>
        <w:gridCol w:w="1100"/>
        <w:gridCol w:w="1900"/>
      </w:tblGrid>
      <w:tr w14:paraId="717172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9" w:type="dxa"/>
            <w:tcBorders>
              <w:top w:val="single" w:color="auto" w:sz="12" w:space="0"/>
              <w:bottom w:val="double" w:color="auto" w:sz="4" w:space="0"/>
            </w:tcBorders>
            <w:shd w:val="clear" w:color="auto" w:fill="EEECE1"/>
            <w:noWrap w:val="0"/>
            <w:vAlign w:val="center"/>
          </w:tcPr>
          <w:p w14:paraId="745B95EF">
            <w:pPr>
              <w:keepNext w:val="0"/>
              <w:keepLines w:val="0"/>
              <w:suppressLineNumbers w:val="0"/>
              <w:snapToGrid w:val="0"/>
              <w:spacing w:before="0" w:beforeAutospacing="0" w:after="0" w:afterAutospacing="0"/>
              <w:ind w:left="0" w:right="0"/>
              <w:jc w:val="both"/>
              <w:rPr>
                <w:rFonts w:hint="eastAsia" w:ascii="宋体" w:hAnsi="宋体"/>
                <w:sz w:val="21"/>
                <w:szCs w:val="21"/>
              </w:rPr>
            </w:pPr>
            <w:r>
              <w:rPr>
                <w:rFonts w:hint="eastAsia" w:ascii="宋体" w:hAnsi="宋体"/>
                <w:sz w:val="21"/>
                <w:szCs w:val="21"/>
              </w:rPr>
              <w:t>序号</w:t>
            </w:r>
          </w:p>
        </w:tc>
        <w:tc>
          <w:tcPr>
            <w:tcW w:w="1037" w:type="dxa"/>
            <w:tcBorders>
              <w:top w:val="single" w:color="auto" w:sz="12" w:space="0"/>
              <w:bottom w:val="double" w:color="auto" w:sz="4" w:space="0"/>
            </w:tcBorders>
            <w:shd w:val="clear" w:color="auto" w:fill="EEECE1"/>
            <w:noWrap w:val="0"/>
            <w:vAlign w:val="center"/>
          </w:tcPr>
          <w:p w14:paraId="6E0AC8CF">
            <w:pPr>
              <w:pStyle w:val="35"/>
              <w:keepNext w:val="0"/>
              <w:keepLines w:val="0"/>
              <w:suppressLineNumbers w:val="0"/>
              <w:snapToGrid w:val="0"/>
              <w:spacing w:before="0" w:beforeAutospacing="0" w:after="0" w:afterAutospacing="0" w:line="240" w:lineRule="auto"/>
              <w:ind w:left="0" w:right="0"/>
              <w:textAlignment w:val="auto"/>
              <w:rPr>
                <w:rFonts w:hint="eastAsia" w:ascii="宋体" w:hAnsi="宋体"/>
                <w:snapToGrid/>
                <w:spacing w:val="0"/>
                <w:kern w:val="2"/>
                <w:sz w:val="21"/>
                <w:szCs w:val="21"/>
                <w:lang w:val="en-US" w:eastAsia="zh-CN"/>
              </w:rPr>
            </w:pPr>
            <w:r>
              <w:rPr>
                <w:rFonts w:hint="eastAsia" w:ascii="宋体" w:hAnsi="宋体"/>
                <w:snapToGrid/>
                <w:spacing w:val="0"/>
                <w:kern w:val="2"/>
                <w:sz w:val="21"/>
                <w:szCs w:val="21"/>
                <w:lang w:val="en-US" w:eastAsia="zh-CN"/>
              </w:rPr>
              <w:t>姓名</w:t>
            </w:r>
          </w:p>
        </w:tc>
        <w:tc>
          <w:tcPr>
            <w:tcW w:w="826" w:type="dxa"/>
            <w:tcBorders>
              <w:top w:val="single" w:color="auto" w:sz="12" w:space="0"/>
              <w:bottom w:val="double" w:color="auto" w:sz="4" w:space="0"/>
            </w:tcBorders>
            <w:shd w:val="clear" w:color="auto" w:fill="EEECE1"/>
            <w:noWrap w:val="0"/>
            <w:vAlign w:val="center"/>
          </w:tcPr>
          <w:p w14:paraId="0F025868">
            <w:pPr>
              <w:keepNext w:val="0"/>
              <w:keepLines w:val="0"/>
              <w:suppressLineNumbers w:val="0"/>
              <w:snapToGrid w:val="0"/>
              <w:spacing w:before="0" w:beforeAutospacing="0" w:after="0" w:afterAutospacing="0"/>
              <w:ind w:left="0" w:right="0"/>
              <w:jc w:val="center"/>
              <w:rPr>
                <w:rFonts w:hint="eastAsia" w:ascii="宋体" w:hAnsi="宋体"/>
                <w:sz w:val="21"/>
                <w:szCs w:val="21"/>
              </w:rPr>
            </w:pPr>
            <w:r>
              <w:rPr>
                <w:rFonts w:hint="eastAsia" w:ascii="宋体" w:hAnsi="宋体"/>
                <w:sz w:val="21"/>
                <w:szCs w:val="21"/>
              </w:rPr>
              <w:t>性别</w:t>
            </w:r>
          </w:p>
        </w:tc>
        <w:tc>
          <w:tcPr>
            <w:tcW w:w="825" w:type="dxa"/>
            <w:tcBorders>
              <w:top w:val="single" w:color="auto" w:sz="12" w:space="0"/>
              <w:bottom w:val="double" w:color="auto" w:sz="4" w:space="0"/>
            </w:tcBorders>
            <w:shd w:val="clear" w:color="auto" w:fill="EEECE1"/>
            <w:noWrap w:val="0"/>
            <w:vAlign w:val="center"/>
          </w:tcPr>
          <w:p w14:paraId="19A958BF">
            <w:pPr>
              <w:keepNext w:val="0"/>
              <w:keepLines w:val="0"/>
              <w:suppressLineNumbers w:val="0"/>
              <w:snapToGrid w:val="0"/>
              <w:spacing w:before="0" w:beforeAutospacing="0" w:after="0" w:afterAutospacing="0"/>
              <w:ind w:left="0" w:right="0"/>
              <w:jc w:val="center"/>
              <w:rPr>
                <w:rFonts w:hint="eastAsia" w:ascii="宋体" w:hAnsi="宋体"/>
                <w:sz w:val="21"/>
                <w:szCs w:val="21"/>
              </w:rPr>
            </w:pPr>
            <w:r>
              <w:rPr>
                <w:rFonts w:hint="eastAsia" w:ascii="宋体" w:hAnsi="宋体"/>
                <w:sz w:val="21"/>
                <w:szCs w:val="21"/>
              </w:rPr>
              <w:t>年龄</w:t>
            </w:r>
          </w:p>
        </w:tc>
        <w:tc>
          <w:tcPr>
            <w:tcW w:w="825" w:type="dxa"/>
            <w:tcBorders>
              <w:top w:val="single" w:color="auto" w:sz="12" w:space="0"/>
              <w:bottom w:val="double" w:color="auto" w:sz="4" w:space="0"/>
            </w:tcBorders>
            <w:shd w:val="clear" w:color="auto" w:fill="EEECE1"/>
            <w:noWrap w:val="0"/>
            <w:vAlign w:val="center"/>
          </w:tcPr>
          <w:p w14:paraId="145DE7E5">
            <w:pPr>
              <w:keepNext w:val="0"/>
              <w:keepLines w:val="0"/>
              <w:suppressLineNumbers w:val="0"/>
              <w:snapToGrid w:val="0"/>
              <w:spacing w:before="0" w:beforeAutospacing="0" w:after="0" w:afterAutospacing="0"/>
              <w:ind w:left="0" w:right="0"/>
              <w:jc w:val="center"/>
              <w:rPr>
                <w:rFonts w:hint="eastAsia" w:ascii="宋体" w:hAnsi="宋体"/>
                <w:sz w:val="21"/>
                <w:szCs w:val="21"/>
              </w:rPr>
            </w:pPr>
            <w:r>
              <w:rPr>
                <w:rFonts w:hint="eastAsia" w:ascii="宋体" w:hAnsi="宋体"/>
                <w:sz w:val="21"/>
                <w:szCs w:val="21"/>
              </w:rPr>
              <w:t>学历</w:t>
            </w:r>
          </w:p>
        </w:tc>
        <w:tc>
          <w:tcPr>
            <w:tcW w:w="997" w:type="dxa"/>
            <w:tcBorders>
              <w:top w:val="single" w:color="auto" w:sz="12" w:space="0"/>
              <w:bottom w:val="double" w:color="auto" w:sz="4" w:space="0"/>
            </w:tcBorders>
            <w:shd w:val="clear" w:color="auto" w:fill="EEECE1"/>
            <w:noWrap w:val="0"/>
            <w:vAlign w:val="center"/>
          </w:tcPr>
          <w:p w14:paraId="73B70217">
            <w:pPr>
              <w:keepNext w:val="0"/>
              <w:keepLines w:val="0"/>
              <w:suppressLineNumbers w:val="0"/>
              <w:snapToGrid w:val="0"/>
              <w:spacing w:before="0" w:beforeAutospacing="0" w:after="0" w:afterAutospacing="0"/>
              <w:ind w:left="0" w:right="0"/>
              <w:jc w:val="center"/>
              <w:rPr>
                <w:rFonts w:hint="eastAsia" w:ascii="宋体" w:hAnsi="宋体" w:eastAsiaTheme="minorEastAsia"/>
                <w:sz w:val="21"/>
                <w:szCs w:val="21"/>
                <w:lang w:eastAsia="zh-CN"/>
              </w:rPr>
            </w:pPr>
            <w:r>
              <w:rPr>
                <w:rFonts w:hint="eastAsia" w:ascii="宋体" w:hAnsi="宋体"/>
                <w:sz w:val="21"/>
                <w:szCs w:val="21"/>
              </w:rPr>
              <w:t>职称</w:t>
            </w:r>
            <w:r>
              <w:rPr>
                <w:rFonts w:hint="eastAsia" w:ascii="宋体" w:hAnsi="宋体"/>
                <w:sz w:val="21"/>
                <w:szCs w:val="21"/>
                <w:lang w:eastAsia="zh-CN"/>
              </w:rPr>
              <w:t>（</w:t>
            </w:r>
            <w:r>
              <w:rPr>
                <w:rFonts w:hint="eastAsia" w:ascii="宋体" w:hAnsi="宋体"/>
                <w:sz w:val="21"/>
                <w:szCs w:val="21"/>
                <w:lang w:val="en-US" w:eastAsia="zh-CN"/>
              </w:rPr>
              <w:t>如有</w:t>
            </w:r>
            <w:r>
              <w:rPr>
                <w:rFonts w:hint="eastAsia" w:ascii="宋体" w:hAnsi="宋体"/>
                <w:sz w:val="21"/>
                <w:szCs w:val="21"/>
                <w:lang w:eastAsia="zh-CN"/>
              </w:rPr>
              <w:t>）</w:t>
            </w:r>
          </w:p>
        </w:tc>
        <w:tc>
          <w:tcPr>
            <w:tcW w:w="1534" w:type="dxa"/>
            <w:tcBorders>
              <w:top w:val="single" w:color="auto" w:sz="12" w:space="0"/>
              <w:bottom w:val="double" w:color="auto" w:sz="4" w:space="0"/>
            </w:tcBorders>
            <w:shd w:val="clear" w:color="auto" w:fill="EEECE1"/>
            <w:noWrap w:val="0"/>
            <w:vAlign w:val="center"/>
          </w:tcPr>
          <w:p w14:paraId="18CC82F8">
            <w:pPr>
              <w:keepNext w:val="0"/>
              <w:keepLines w:val="0"/>
              <w:suppressLineNumbers w:val="0"/>
              <w:snapToGrid w:val="0"/>
              <w:spacing w:before="0" w:beforeAutospacing="0" w:after="0" w:afterAutospacing="0"/>
              <w:ind w:left="0" w:right="0"/>
              <w:jc w:val="center"/>
              <w:rPr>
                <w:rFonts w:hint="eastAsia" w:ascii="宋体" w:hAnsi="宋体"/>
                <w:sz w:val="21"/>
                <w:szCs w:val="21"/>
              </w:rPr>
            </w:pPr>
            <w:r>
              <w:rPr>
                <w:rFonts w:hint="eastAsia" w:ascii="宋体" w:hAnsi="宋体"/>
                <w:sz w:val="21"/>
                <w:szCs w:val="21"/>
              </w:rPr>
              <w:t>专业</w:t>
            </w:r>
          </w:p>
        </w:tc>
        <w:tc>
          <w:tcPr>
            <w:tcW w:w="1100" w:type="dxa"/>
            <w:tcBorders>
              <w:top w:val="single" w:color="auto" w:sz="12" w:space="0"/>
              <w:bottom w:val="double" w:color="auto" w:sz="4" w:space="0"/>
            </w:tcBorders>
            <w:shd w:val="clear" w:color="auto" w:fill="EEECE1"/>
            <w:noWrap w:val="0"/>
            <w:vAlign w:val="center"/>
          </w:tcPr>
          <w:p w14:paraId="3668D2A7">
            <w:pPr>
              <w:keepNext w:val="0"/>
              <w:keepLines w:val="0"/>
              <w:suppressLineNumbers w:val="0"/>
              <w:snapToGrid w:val="0"/>
              <w:spacing w:before="0" w:beforeAutospacing="0" w:after="0" w:afterAutospacing="0"/>
              <w:ind w:left="0" w:right="0"/>
              <w:jc w:val="center"/>
              <w:rPr>
                <w:rFonts w:hint="eastAsia" w:ascii="宋体" w:hAnsi="宋体"/>
                <w:sz w:val="21"/>
                <w:szCs w:val="21"/>
              </w:rPr>
            </w:pPr>
            <w:r>
              <w:rPr>
                <w:rFonts w:hint="eastAsia" w:ascii="宋体" w:hAnsi="宋体"/>
                <w:sz w:val="21"/>
                <w:szCs w:val="21"/>
              </w:rPr>
              <w:t>经验年限</w:t>
            </w:r>
          </w:p>
        </w:tc>
        <w:tc>
          <w:tcPr>
            <w:tcW w:w="1900" w:type="dxa"/>
            <w:tcBorders>
              <w:top w:val="single" w:color="auto" w:sz="12" w:space="0"/>
              <w:bottom w:val="double" w:color="auto" w:sz="4" w:space="0"/>
            </w:tcBorders>
            <w:shd w:val="clear" w:color="auto" w:fill="EEECE1"/>
            <w:noWrap w:val="0"/>
            <w:vAlign w:val="center"/>
          </w:tcPr>
          <w:p w14:paraId="65CD92FF">
            <w:pPr>
              <w:keepNext w:val="0"/>
              <w:keepLines w:val="0"/>
              <w:suppressLineNumbers w:val="0"/>
              <w:snapToGrid w:val="0"/>
              <w:spacing w:before="0" w:beforeAutospacing="0" w:after="0" w:afterAutospacing="0"/>
              <w:ind w:left="0" w:right="0"/>
              <w:jc w:val="center"/>
              <w:rPr>
                <w:rFonts w:hint="eastAsia" w:ascii="宋体" w:hAnsi="宋体"/>
                <w:sz w:val="21"/>
                <w:szCs w:val="21"/>
              </w:rPr>
            </w:pPr>
            <w:r>
              <w:rPr>
                <w:rFonts w:hint="eastAsia" w:ascii="宋体" w:hAnsi="宋体"/>
                <w:sz w:val="21"/>
                <w:szCs w:val="21"/>
              </w:rPr>
              <w:t>拟担任职务或承担工作内容</w:t>
            </w:r>
          </w:p>
        </w:tc>
      </w:tr>
      <w:tr w14:paraId="28020D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39" w:type="dxa"/>
            <w:tcBorders>
              <w:top w:val="double" w:color="auto" w:sz="4" w:space="0"/>
            </w:tcBorders>
            <w:noWrap w:val="0"/>
            <w:vAlign w:val="center"/>
          </w:tcPr>
          <w:p w14:paraId="3FE543D7">
            <w:pPr>
              <w:keepNext w:val="0"/>
              <w:keepLines w:val="0"/>
              <w:suppressLineNumbers w:val="0"/>
              <w:spacing w:before="0" w:beforeAutospacing="0" w:after="0" w:afterAutospacing="0" w:line="400" w:lineRule="exact"/>
              <w:ind w:left="0" w:right="0"/>
              <w:jc w:val="center"/>
              <w:rPr>
                <w:rFonts w:hint="default" w:ascii="宋体" w:hAnsi="宋体" w:eastAsia="宋体"/>
                <w:sz w:val="21"/>
                <w:szCs w:val="21"/>
                <w:lang w:val="en-US" w:eastAsia="zh-CN"/>
              </w:rPr>
            </w:pPr>
            <w:r>
              <w:rPr>
                <w:rFonts w:hint="eastAsia" w:ascii="宋体" w:hAnsi="宋体" w:eastAsia="宋体"/>
                <w:sz w:val="21"/>
                <w:szCs w:val="21"/>
                <w:lang w:val="en-US" w:eastAsia="zh-CN"/>
              </w:rPr>
              <w:t>1</w:t>
            </w:r>
          </w:p>
        </w:tc>
        <w:tc>
          <w:tcPr>
            <w:tcW w:w="1037" w:type="dxa"/>
            <w:tcBorders>
              <w:top w:val="double" w:color="auto" w:sz="4" w:space="0"/>
            </w:tcBorders>
            <w:noWrap w:val="0"/>
            <w:vAlign w:val="center"/>
          </w:tcPr>
          <w:p w14:paraId="6F417966">
            <w:pPr>
              <w:keepNext w:val="0"/>
              <w:keepLines w:val="0"/>
              <w:suppressLineNumbers w:val="0"/>
              <w:spacing w:before="317" w:beforeAutospacing="0" w:after="0" w:afterAutospacing="0" w:line="149" w:lineRule="exact"/>
              <w:ind w:left="0" w:right="0"/>
              <w:jc w:val="center"/>
              <w:rPr>
                <w:rFonts w:hint="eastAsia" w:ascii="宋体" w:hAnsi="宋体" w:eastAsia="宋体" w:cs="宋体"/>
                <w:spacing w:val="0"/>
                <w:w w:val="100"/>
                <w:position w:val="0"/>
                <w:sz w:val="21"/>
                <w:szCs w:val="21"/>
                <w:lang w:val="en-US" w:eastAsia="zh-CN" w:bidi="ar-SA"/>
              </w:rPr>
            </w:pPr>
          </w:p>
        </w:tc>
        <w:tc>
          <w:tcPr>
            <w:tcW w:w="826" w:type="dxa"/>
            <w:tcBorders>
              <w:top w:val="double" w:color="auto" w:sz="4" w:space="0"/>
            </w:tcBorders>
            <w:noWrap w:val="0"/>
            <w:vAlign w:val="center"/>
          </w:tcPr>
          <w:p w14:paraId="3653F1C8">
            <w:pPr>
              <w:keepNext w:val="0"/>
              <w:keepLines w:val="0"/>
              <w:suppressLineNumbers w:val="0"/>
              <w:spacing w:before="0" w:beforeAutospacing="0" w:after="0" w:afterAutospacing="0" w:line="400" w:lineRule="exact"/>
              <w:ind w:left="0" w:right="0"/>
              <w:jc w:val="center"/>
              <w:rPr>
                <w:rFonts w:hint="eastAsia" w:ascii="宋体" w:hAnsi="宋体" w:eastAsia="宋体"/>
                <w:sz w:val="21"/>
                <w:szCs w:val="21"/>
                <w:lang w:eastAsia="zh-CN"/>
              </w:rPr>
            </w:pPr>
          </w:p>
        </w:tc>
        <w:tc>
          <w:tcPr>
            <w:tcW w:w="825" w:type="dxa"/>
            <w:tcBorders>
              <w:top w:val="double" w:color="auto" w:sz="4" w:space="0"/>
            </w:tcBorders>
            <w:noWrap w:val="0"/>
            <w:vAlign w:val="center"/>
          </w:tcPr>
          <w:p w14:paraId="65D018B2">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c>
          <w:tcPr>
            <w:tcW w:w="825" w:type="dxa"/>
            <w:tcBorders>
              <w:top w:val="double" w:color="auto" w:sz="4" w:space="0"/>
            </w:tcBorders>
            <w:noWrap w:val="0"/>
            <w:vAlign w:val="center"/>
          </w:tcPr>
          <w:p w14:paraId="5C2C47FD">
            <w:pPr>
              <w:keepNext w:val="0"/>
              <w:keepLines w:val="0"/>
              <w:suppressLineNumbers w:val="0"/>
              <w:spacing w:before="0" w:beforeAutospacing="0" w:after="0" w:afterAutospacing="0" w:line="400" w:lineRule="exact"/>
              <w:ind w:left="0" w:right="0"/>
              <w:jc w:val="center"/>
              <w:rPr>
                <w:rFonts w:hint="eastAsia" w:ascii="宋体" w:hAnsi="宋体" w:eastAsia="宋体"/>
                <w:sz w:val="21"/>
                <w:szCs w:val="21"/>
                <w:lang w:eastAsia="zh-CN"/>
              </w:rPr>
            </w:pPr>
          </w:p>
        </w:tc>
        <w:tc>
          <w:tcPr>
            <w:tcW w:w="997" w:type="dxa"/>
            <w:tcBorders>
              <w:top w:val="double" w:color="auto" w:sz="4" w:space="0"/>
            </w:tcBorders>
            <w:noWrap w:val="0"/>
            <w:vAlign w:val="center"/>
          </w:tcPr>
          <w:p w14:paraId="7BD8C893">
            <w:pPr>
              <w:keepNext w:val="0"/>
              <w:keepLines w:val="0"/>
              <w:suppressLineNumbers w:val="0"/>
              <w:spacing w:before="0" w:beforeAutospacing="0" w:after="0" w:afterAutospacing="0" w:line="400" w:lineRule="exact"/>
              <w:ind w:left="0" w:right="0"/>
              <w:jc w:val="center"/>
              <w:rPr>
                <w:rFonts w:hint="default" w:ascii="宋体" w:hAnsi="宋体"/>
                <w:sz w:val="21"/>
                <w:szCs w:val="21"/>
                <w:lang w:val="en-US" w:eastAsia="zh-CN"/>
              </w:rPr>
            </w:pPr>
          </w:p>
        </w:tc>
        <w:tc>
          <w:tcPr>
            <w:tcW w:w="1534" w:type="dxa"/>
            <w:tcBorders>
              <w:top w:val="double" w:color="auto" w:sz="4" w:space="0"/>
            </w:tcBorders>
            <w:noWrap w:val="0"/>
            <w:vAlign w:val="center"/>
          </w:tcPr>
          <w:p w14:paraId="51F97142">
            <w:pPr>
              <w:keepNext w:val="0"/>
              <w:keepLines w:val="0"/>
              <w:suppressLineNumbers w:val="0"/>
              <w:spacing w:before="0" w:beforeAutospacing="0" w:after="0" w:afterAutospacing="0"/>
              <w:ind w:left="0" w:right="0"/>
              <w:jc w:val="center"/>
              <w:rPr>
                <w:rFonts w:hint="eastAsia" w:ascii="黑体"/>
                <w:spacing w:val="0"/>
                <w:w w:val="100"/>
                <w:position w:val="0"/>
                <w:sz w:val="21"/>
                <w:lang w:eastAsia="zh-CN"/>
              </w:rPr>
            </w:pPr>
          </w:p>
        </w:tc>
        <w:tc>
          <w:tcPr>
            <w:tcW w:w="1100" w:type="dxa"/>
            <w:tcBorders>
              <w:top w:val="double" w:color="auto" w:sz="4" w:space="0"/>
            </w:tcBorders>
            <w:noWrap w:val="0"/>
            <w:vAlign w:val="center"/>
          </w:tcPr>
          <w:p w14:paraId="2D159440">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c>
          <w:tcPr>
            <w:tcW w:w="1900" w:type="dxa"/>
            <w:tcBorders>
              <w:top w:val="double" w:color="auto" w:sz="4" w:space="0"/>
            </w:tcBorders>
            <w:noWrap w:val="0"/>
            <w:vAlign w:val="center"/>
          </w:tcPr>
          <w:p w14:paraId="717D5E2D">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r>
      <w:tr w14:paraId="54428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14:paraId="6832E380">
            <w:pPr>
              <w:keepNext w:val="0"/>
              <w:keepLines w:val="0"/>
              <w:suppressLineNumbers w:val="0"/>
              <w:spacing w:before="0" w:beforeAutospacing="0" w:after="0" w:afterAutospacing="0" w:line="400" w:lineRule="exact"/>
              <w:ind w:left="0" w:right="0"/>
              <w:jc w:val="center"/>
              <w:rPr>
                <w:rFonts w:hint="default"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2</w:t>
            </w:r>
          </w:p>
        </w:tc>
        <w:tc>
          <w:tcPr>
            <w:tcW w:w="1037" w:type="dxa"/>
            <w:noWrap w:val="0"/>
            <w:vAlign w:val="center"/>
          </w:tcPr>
          <w:p w14:paraId="6AD9EB7D">
            <w:pPr>
              <w:keepNext w:val="0"/>
              <w:keepLines w:val="0"/>
              <w:suppressLineNumbers w:val="0"/>
              <w:spacing w:before="0" w:beforeAutospacing="0" w:after="0" w:afterAutospacing="0"/>
              <w:ind w:left="0" w:right="0"/>
              <w:jc w:val="center"/>
              <w:rPr>
                <w:rFonts w:hint="eastAsia" w:ascii="黑体"/>
                <w:spacing w:val="0"/>
                <w:w w:val="100"/>
                <w:position w:val="0"/>
                <w:sz w:val="21"/>
              </w:rPr>
            </w:pPr>
          </w:p>
        </w:tc>
        <w:tc>
          <w:tcPr>
            <w:tcW w:w="826" w:type="dxa"/>
            <w:noWrap w:val="0"/>
            <w:vAlign w:val="center"/>
          </w:tcPr>
          <w:p w14:paraId="1DD88FA4">
            <w:pPr>
              <w:keepNext w:val="0"/>
              <w:keepLines w:val="0"/>
              <w:suppressLineNumbers w:val="0"/>
              <w:spacing w:before="0" w:beforeAutospacing="0" w:after="0" w:afterAutospacing="0" w:line="400" w:lineRule="exact"/>
              <w:ind w:left="0" w:right="0"/>
              <w:jc w:val="center"/>
              <w:rPr>
                <w:rFonts w:hint="eastAsia" w:ascii="宋体" w:hAnsi="宋体"/>
                <w:sz w:val="21"/>
                <w:szCs w:val="21"/>
                <w:lang w:eastAsia="zh-CN"/>
              </w:rPr>
            </w:pPr>
          </w:p>
        </w:tc>
        <w:tc>
          <w:tcPr>
            <w:tcW w:w="825" w:type="dxa"/>
            <w:noWrap w:val="0"/>
            <w:vAlign w:val="center"/>
          </w:tcPr>
          <w:p w14:paraId="550B9D83">
            <w:pPr>
              <w:keepNext w:val="0"/>
              <w:keepLines w:val="0"/>
              <w:suppressLineNumbers w:val="0"/>
              <w:spacing w:before="0" w:beforeAutospacing="0" w:after="0" w:afterAutospacing="0"/>
              <w:ind w:left="0" w:right="0"/>
              <w:jc w:val="center"/>
              <w:rPr>
                <w:rFonts w:hint="eastAsia" w:ascii="黑体"/>
                <w:spacing w:val="0"/>
                <w:w w:val="100"/>
                <w:position w:val="0"/>
                <w:sz w:val="21"/>
                <w:lang w:val="en-US" w:eastAsia="zh-CN"/>
              </w:rPr>
            </w:pPr>
          </w:p>
        </w:tc>
        <w:tc>
          <w:tcPr>
            <w:tcW w:w="825" w:type="dxa"/>
            <w:noWrap w:val="0"/>
            <w:vAlign w:val="center"/>
          </w:tcPr>
          <w:p w14:paraId="5B67E376">
            <w:pPr>
              <w:keepNext w:val="0"/>
              <w:keepLines w:val="0"/>
              <w:suppressLineNumbers w:val="0"/>
              <w:spacing w:before="0" w:beforeAutospacing="0" w:after="0" w:afterAutospacing="0" w:line="400" w:lineRule="exact"/>
              <w:ind w:left="0" w:right="0"/>
              <w:jc w:val="center"/>
              <w:rPr>
                <w:rFonts w:hint="eastAsia" w:ascii="宋体" w:hAnsi="宋体"/>
                <w:sz w:val="21"/>
                <w:szCs w:val="21"/>
                <w:lang w:eastAsia="zh-CN"/>
              </w:rPr>
            </w:pPr>
          </w:p>
        </w:tc>
        <w:tc>
          <w:tcPr>
            <w:tcW w:w="997" w:type="dxa"/>
            <w:noWrap w:val="0"/>
            <w:vAlign w:val="center"/>
          </w:tcPr>
          <w:p w14:paraId="2455259F">
            <w:pPr>
              <w:keepNext w:val="0"/>
              <w:keepLines w:val="0"/>
              <w:suppressLineNumbers w:val="0"/>
              <w:spacing w:before="0" w:beforeAutospacing="0" w:after="0" w:afterAutospacing="0" w:line="400" w:lineRule="exact"/>
              <w:ind w:left="0" w:right="0"/>
              <w:jc w:val="center"/>
              <w:rPr>
                <w:rFonts w:hint="eastAsia" w:ascii="黑体"/>
                <w:spacing w:val="0"/>
                <w:w w:val="100"/>
                <w:position w:val="0"/>
                <w:sz w:val="21"/>
                <w:lang w:eastAsia="zh-CN"/>
              </w:rPr>
            </w:pPr>
          </w:p>
        </w:tc>
        <w:tc>
          <w:tcPr>
            <w:tcW w:w="1534" w:type="dxa"/>
            <w:noWrap w:val="0"/>
            <w:vAlign w:val="center"/>
          </w:tcPr>
          <w:p w14:paraId="358A04A2">
            <w:pPr>
              <w:keepNext w:val="0"/>
              <w:keepLines w:val="0"/>
              <w:suppressLineNumbers w:val="0"/>
              <w:spacing w:before="0" w:beforeAutospacing="0" w:after="0" w:afterAutospacing="0"/>
              <w:ind w:left="0" w:right="0"/>
              <w:jc w:val="center"/>
              <w:rPr>
                <w:rFonts w:hint="eastAsia" w:ascii="黑体"/>
                <w:spacing w:val="0"/>
                <w:w w:val="100"/>
                <w:position w:val="0"/>
                <w:sz w:val="21"/>
                <w:lang w:eastAsia="zh-CN"/>
              </w:rPr>
            </w:pPr>
          </w:p>
        </w:tc>
        <w:tc>
          <w:tcPr>
            <w:tcW w:w="1100" w:type="dxa"/>
            <w:noWrap w:val="0"/>
            <w:vAlign w:val="center"/>
          </w:tcPr>
          <w:p w14:paraId="31AF6FDB">
            <w:pPr>
              <w:keepNext w:val="0"/>
              <w:keepLines w:val="0"/>
              <w:suppressLineNumbers w:val="0"/>
              <w:spacing w:before="0" w:beforeAutospacing="0" w:after="0" w:afterAutospacing="0"/>
              <w:ind w:left="0" w:right="0"/>
              <w:jc w:val="center"/>
              <w:rPr>
                <w:rFonts w:hint="default" w:ascii="黑体"/>
                <w:spacing w:val="0"/>
                <w:w w:val="100"/>
                <w:position w:val="0"/>
                <w:sz w:val="21"/>
                <w:lang w:val="en-US" w:eastAsia="zh-CN"/>
              </w:rPr>
            </w:pPr>
          </w:p>
        </w:tc>
        <w:tc>
          <w:tcPr>
            <w:tcW w:w="1900" w:type="dxa"/>
            <w:noWrap w:val="0"/>
            <w:vAlign w:val="center"/>
          </w:tcPr>
          <w:p w14:paraId="628BB623">
            <w:pPr>
              <w:keepNext w:val="0"/>
              <w:keepLines w:val="0"/>
              <w:suppressLineNumbers w:val="0"/>
              <w:spacing w:before="0" w:beforeAutospacing="0" w:after="0" w:afterAutospacing="0"/>
              <w:ind w:left="0" w:right="0"/>
              <w:jc w:val="center"/>
              <w:rPr>
                <w:rFonts w:hint="eastAsia" w:ascii="Times New Roman" w:hAnsi="Times New Roman" w:eastAsia="宋体" w:cs="Times New Roman"/>
                <w:lang w:val="en-US" w:eastAsia="zh-CN" w:bidi="ar-SA"/>
              </w:rPr>
            </w:pPr>
          </w:p>
        </w:tc>
      </w:tr>
      <w:tr w14:paraId="465C9C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14:paraId="4CD17695">
            <w:pPr>
              <w:keepNext w:val="0"/>
              <w:keepLines w:val="0"/>
              <w:suppressLineNumbers w:val="0"/>
              <w:spacing w:before="0" w:beforeAutospacing="0" w:after="0" w:afterAutospacing="0" w:line="400" w:lineRule="exact"/>
              <w:ind w:left="0" w:right="0"/>
              <w:jc w:val="center"/>
              <w:rPr>
                <w:rFonts w:hint="default"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3</w:t>
            </w:r>
          </w:p>
        </w:tc>
        <w:tc>
          <w:tcPr>
            <w:tcW w:w="1037" w:type="dxa"/>
            <w:noWrap w:val="0"/>
            <w:vAlign w:val="center"/>
          </w:tcPr>
          <w:p w14:paraId="555CF692">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c>
          <w:tcPr>
            <w:tcW w:w="826" w:type="dxa"/>
            <w:noWrap w:val="0"/>
            <w:vAlign w:val="center"/>
          </w:tcPr>
          <w:p w14:paraId="7F9F0470">
            <w:pPr>
              <w:keepNext w:val="0"/>
              <w:keepLines w:val="0"/>
              <w:suppressLineNumbers w:val="0"/>
              <w:spacing w:before="0" w:beforeAutospacing="0" w:after="0" w:afterAutospacing="0" w:line="400" w:lineRule="exact"/>
              <w:ind w:left="0" w:right="0"/>
              <w:jc w:val="center"/>
              <w:rPr>
                <w:rFonts w:hint="eastAsia" w:ascii="宋体" w:hAnsi="宋体"/>
                <w:sz w:val="21"/>
                <w:szCs w:val="21"/>
              </w:rPr>
            </w:pPr>
          </w:p>
        </w:tc>
        <w:tc>
          <w:tcPr>
            <w:tcW w:w="825" w:type="dxa"/>
            <w:noWrap w:val="0"/>
            <w:vAlign w:val="center"/>
          </w:tcPr>
          <w:p w14:paraId="2641F930">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c>
          <w:tcPr>
            <w:tcW w:w="825" w:type="dxa"/>
            <w:noWrap w:val="0"/>
            <w:vAlign w:val="center"/>
          </w:tcPr>
          <w:p w14:paraId="5B9C4C2D">
            <w:pPr>
              <w:keepNext w:val="0"/>
              <w:keepLines w:val="0"/>
              <w:suppressLineNumbers w:val="0"/>
              <w:spacing w:before="0" w:beforeAutospacing="0" w:after="0" w:afterAutospacing="0" w:line="400" w:lineRule="exact"/>
              <w:ind w:left="0" w:right="0"/>
              <w:jc w:val="center"/>
              <w:rPr>
                <w:rFonts w:hint="eastAsia" w:ascii="宋体" w:hAnsi="宋体"/>
                <w:sz w:val="21"/>
                <w:szCs w:val="21"/>
              </w:rPr>
            </w:pPr>
          </w:p>
        </w:tc>
        <w:tc>
          <w:tcPr>
            <w:tcW w:w="997" w:type="dxa"/>
            <w:noWrap w:val="0"/>
            <w:vAlign w:val="center"/>
          </w:tcPr>
          <w:p w14:paraId="663C1286">
            <w:pPr>
              <w:keepNext w:val="0"/>
              <w:keepLines w:val="0"/>
              <w:suppressLineNumbers w:val="0"/>
              <w:spacing w:before="0" w:beforeAutospacing="0" w:after="0" w:afterAutospacing="0" w:line="400" w:lineRule="exact"/>
              <w:ind w:left="0" w:right="0"/>
              <w:jc w:val="center"/>
              <w:rPr>
                <w:rFonts w:hint="eastAsia" w:ascii="宋体" w:hAnsi="宋体"/>
                <w:sz w:val="21"/>
                <w:szCs w:val="21"/>
              </w:rPr>
            </w:pPr>
          </w:p>
        </w:tc>
        <w:tc>
          <w:tcPr>
            <w:tcW w:w="1534" w:type="dxa"/>
            <w:noWrap w:val="0"/>
            <w:vAlign w:val="center"/>
          </w:tcPr>
          <w:p w14:paraId="2CADCD37">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c>
          <w:tcPr>
            <w:tcW w:w="1100" w:type="dxa"/>
            <w:noWrap w:val="0"/>
            <w:vAlign w:val="center"/>
          </w:tcPr>
          <w:p w14:paraId="7E3427D2">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c>
          <w:tcPr>
            <w:tcW w:w="1900" w:type="dxa"/>
            <w:noWrap w:val="0"/>
            <w:vAlign w:val="center"/>
          </w:tcPr>
          <w:p w14:paraId="01E9A8D5">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r>
      <w:tr w14:paraId="7C2BB6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14:paraId="2ED7F663">
            <w:pPr>
              <w:keepNext w:val="0"/>
              <w:keepLines w:val="0"/>
              <w:suppressLineNumbers w:val="0"/>
              <w:spacing w:before="0" w:beforeAutospacing="0" w:after="0" w:afterAutospacing="0" w:line="400" w:lineRule="exact"/>
              <w:ind w:left="0" w:right="0"/>
              <w:jc w:val="center"/>
              <w:rPr>
                <w:rFonts w:hint="default" w:ascii="宋体" w:hAnsi="宋体" w:eastAsia="宋体" w:cs="Times New Roman"/>
                <w:sz w:val="21"/>
                <w:szCs w:val="21"/>
                <w:lang w:val="en-US" w:eastAsia="zh-CN" w:bidi="ar-SA"/>
              </w:rPr>
            </w:pPr>
            <w:r>
              <w:rPr>
                <w:rFonts w:hint="eastAsia" w:ascii="宋体" w:hAnsi="宋体" w:eastAsia="宋体" w:cs="Times New Roman"/>
                <w:sz w:val="21"/>
                <w:szCs w:val="21"/>
                <w:lang w:val="en-US" w:eastAsia="zh-CN" w:bidi="ar-SA"/>
              </w:rPr>
              <w:t>...</w:t>
            </w:r>
          </w:p>
        </w:tc>
        <w:tc>
          <w:tcPr>
            <w:tcW w:w="1037" w:type="dxa"/>
            <w:noWrap w:val="0"/>
            <w:vAlign w:val="center"/>
          </w:tcPr>
          <w:p w14:paraId="6C04A714">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c>
          <w:tcPr>
            <w:tcW w:w="826" w:type="dxa"/>
            <w:noWrap w:val="0"/>
            <w:vAlign w:val="center"/>
          </w:tcPr>
          <w:p w14:paraId="6D36B6EC">
            <w:pPr>
              <w:keepNext w:val="0"/>
              <w:keepLines w:val="0"/>
              <w:suppressLineNumbers w:val="0"/>
              <w:spacing w:before="0" w:beforeAutospacing="0" w:after="0" w:afterAutospacing="0" w:line="400" w:lineRule="exact"/>
              <w:ind w:left="0" w:right="0"/>
              <w:jc w:val="center"/>
              <w:rPr>
                <w:rFonts w:hint="eastAsia" w:ascii="宋体" w:hAnsi="宋体"/>
                <w:sz w:val="21"/>
                <w:szCs w:val="21"/>
              </w:rPr>
            </w:pPr>
          </w:p>
        </w:tc>
        <w:tc>
          <w:tcPr>
            <w:tcW w:w="825" w:type="dxa"/>
            <w:noWrap w:val="0"/>
            <w:vAlign w:val="center"/>
          </w:tcPr>
          <w:p w14:paraId="1B5E461A">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c>
          <w:tcPr>
            <w:tcW w:w="825" w:type="dxa"/>
            <w:noWrap w:val="0"/>
            <w:vAlign w:val="center"/>
          </w:tcPr>
          <w:p w14:paraId="3724344A">
            <w:pPr>
              <w:keepNext w:val="0"/>
              <w:keepLines w:val="0"/>
              <w:suppressLineNumbers w:val="0"/>
              <w:spacing w:before="0" w:beforeAutospacing="0" w:after="0" w:afterAutospacing="0" w:line="400" w:lineRule="exact"/>
              <w:ind w:left="0" w:right="0"/>
              <w:jc w:val="center"/>
              <w:rPr>
                <w:rFonts w:hint="eastAsia" w:ascii="宋体" w:hAnsi="宋体" w:eastAsia="宋体"/>
                <w:sz w:val="21"/>
                <w:szCs w:val="21"/>
                <w:lang w:eastAsia="zh-CN"/>
              </w:rPr>
            </w:pPr>
          </w:p>
        </w:tc>
        <w:tc>
          <w:tcPr>
            <w:tcW w:w="997" w:type="dxa"/>
            <w:noWrap w:val="0"/>
            <w:vAlign w:val="center"/>
          </w:tcPr>
          <w:p w14:paraId="4968CCFB">
            <w:pPr>
              <w:keepNext w:val="0"/>
              <w:keepLines w:val="0"/>
              <w:suppressLineNumbers w:val="0"/>
              <w:spacing w:before="0" w:beforeAutospacing="0" w:after="0" w:afterAutospacing="0" w:line="400" w:lineRule="exact"/>
              <w:ind w:left="0" w:right="0"/>
              <w:jc w:val="left"/>
              <w:rPr>
                <w:rFonts w:hint="default" w:ascii="宋体" w:hAnsi="宋体"/>
                <w:sz w:val="21"/>
                <w:szCs w:val="21"/>
                <w:lang w:val="en-US"/>
              </w:rPr>
            </w:pPr>
          </w:p>
        </w:tc>
        <w:tc>
          <w:tcPr>
            <w:tcW w:w="1534" w:type="dxa"/>
            <w:noWrap w:val="0"/>
            <w:vAlign w:val="center"/>
          </w:tcPr>
          <w:p w14:paraId="6ECB384F">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c>
          <w:tcPr>
            <w:tcW w:w="1100" w:type="dxa"/>
            <w:noWrap w:val="0"/>
            <w:vAlign w:val="center"/>
          </w:tcPr>
          <w:p w14:paraId="6A0597B0">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c>
          <w:tcPr>
            <w:tcW w:w="1900" w:type="dxa"/>
            <w:noWrap w:val="0"/>
            <w:vAlign w:val="center"/>
          </w:tcPr>
          <w:p w14:paraId="179058E1">
            <w:pPr>
              <w:keepNext w:val="0"/>
              <w:keepLines w:val="0"/>
              <w:suppressLineNumbers w:val="0"/>
              <w:spacing w:before="0" w:beforeAutospacing="0" w:after="0" w:afterAutospacing="0"/>
              <w:ind w:left="0" w:right="0"/>
              <w:jc w:val="center"/>
              <w:rPr>
                <w:rFonts w:hint="eastAsia" w:ascii="黑体" w:hAnsi="Times New Roman" w:eastAsia="宋体" w:cs="Times New Roman"/>
                <w:spacing w:val="0"/>
                <w:w w:val="100"/>
                <w:position w:val="0"/>
                <w:sz w:val="21"/>
                <w:lang w:val="en-US" w:eastAsia="zh-CN" w:bidi="ar-SA"/>
              </w:rPr>
            </w:pPr>
          </w:p>
        </w:tc>
      </w:tr>
      <w:tr w14:paraId="194548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14:paraId="7CD393CF">
            <w:pPr>
              <w:keepNext w:val="0"/>
              <w:keepLines w:val="0"/>
              <w:suppressLineNumbers w:val="0"/>
              <w:spacing w:before="0" w:beforeAutospacing="0" w:after="0" w:afterAutospacing="0" w:line="400" w:lineRule="exact"/>
              <w:ind w:left="0" w:leftChars="0" w:right="0" w:rightChars="0"/>
              <w:jc w:val="center"/>
              <w:rPr>
                <w:rFonts w:hint="eastAsia" w:ascii="宋体" w:hAnsi="宋体"/>
                <w:sz w:val="21"/>
                <w:szCs w:val="21"/>
                <w:lang w:val="en-US" w:eastAsia="zh-CN"/>
              </w:rPr>
            </w:pPr>
          </w:p>
        </w:tc>
        <w:tc>
          <w:tcPr>
            <w:tcW w:w="1037" w:type="dxa"/>
            <w:noWrap w:val="0"/>
            <w:vAlign w:val="center"/>
          </w:tcPr>
          <w:p w14:paraId="2D074804">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rPr>
            </w:pPr>
          </w:p>
        </w:tc>
        <w:tc>
          <w:tcPr>
            <w:tcW w:w="826" w:type="dxa"/>
            <w:noWrap w:val="0"/>
            <w:vAlign w:val="center"/>
          </w:tcPr>
          <w:p w14:paraId="60BBBDC9">
            <w:pPr>
              <w:keepNext w:val="0"/>
              <w:keepLines w:val="0"/>
              <w:suppressLineNumbers w:val="0"/>
              <w:spacing w:before="0" w:beforeAutospacing="0" w:after="0" w:afterAutospacing="0" w:line="400" w:lineRule="exact"/>
              <w:ind w:left="0" w:leftChars="0" w:right="0" w:rightChars="0"/>
              <w:jc w:val="center"/>
              <w:rPr>
                <w:rFonts w:hint="eastAsia" w:ascii="宋体" w:hAnsi="宋体"/>
                <w:sz w:val="21"/>
                <w:szCs w:val="21"/>
                <w:lang w:eastAsia="zh-CN"/>
              </w:rPr>
            </w:pPr>
          </w:p>
        </w:tc>
        <w:tc>
          <w:tcPr>
            <w:tcW w:w="825" w:type="dxa"/>
            <w:noWrap w:val="0"/>
            <w:vAlign w:val="center"/>
          </w:tcPr>
          <w:p w14:paraId="2C2EA131">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lang w:val="en-US" w:eastAsia="zh-CN"/>
              </w:rPr>
            </w:pPr>
          </w:p>
        </w:tc>
        <w:tc>
          <w:tcPr>
            <w:tcW w:w="825" w:type="dxa"/>
            <w:noWrap w:val="0"/>
            <w:vAlign w:val="center"/>
          </w:tcPr>
          <w:p w14:paraId="46DE7D75">
            <w:pPr>
              <w:keepNext w:val="0"/>
              <w:keepLines w:val="0"/>
              <w:suppressLineNumbers w:val="0"/>
              <w:spacing w:before="0" w:beforeAutospacing="0" w:after="0" w:afterAutospacing="0" w:line="400" w:lineRule="exact"/>
              <w:ind w:left="0" w:leftChars="0" w:right="0" w:rightChars="0"/>
              <w:jc w:val="center"/>
              <w:rPr>
                <w:rFonts w:hint="eastAsia" w:ascii="宋体" w:hAnsi="宋体"/>
                <w:sz w:val="21"/>
                <w:szCs w:val="21"/>
                <w:lang w:eastAsia="zh-CN"/>
              </w:rPr>
            </w:pPr>
          </w:p>
        </w:tc>
        <w:tc>
          <w:tcPr>
            <w:tcW w:w="997" w:type="dxa"/>
            <w:noWrap w:val="0"/>
            <w:vAlign w:val="center"/>
          </w:tcPr>
          <w:p w14:paraId="2C3100BD">
            <w:pPr>
              <w:keepNext w:val="0"/>
              <w:keepLines w:val="0"/>
              <w:suppressLineNumbers w:val="0"/>
              <w:spacing w:before="0" w:beforeAutospacing="0" w:after="0" w:afterAutospacing="0" w:line="400" w:lineRule="exact"/>
              <w:ind w:left="0" w:right="0"/>
              <w:jc w:val="left"/>
              <w:rPr>
                <w:rFonts w:hint="default" w:ascii="黑体"/>
                <w:spacing w:val="0"/>
                <w:w w:val="100"/>
                <w:position w:val="0"/>
                <w:sz w:val="21"/>
                <w:lang w:val="en-US" w:eastAsia="zh-CN"/>
              </w:rPr>
            </w:pPr>
          </w:p>
        </w:tc>
        <w:tc>
          <w:tcPr>
            <w:tcW w:w="1534" w:type="dxa"/>
            <w:noWrap w:val="0"/>
            <w:vAlign w:val="center"/>
          </w:tcPr>
          <w:p w14:paraId="0C0FA4D7">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lang w:eastAsia="zh-CN"/>
              </w:rPr>
            </w:pPr>
          </w:p>
        </w:tc>
        <w:tc>
          <w:tcPr>
            <w:tcW w:w="1100" w:type="dxa"/>
            <w:noWrap w:val="0"/>
            <w:vAlign w:val="center"/>
          </w:tcPr>
          <w:p w14:paraId="7688B392">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lang w:val="en-US" w:eastAsia="zh-CN"/>
              </w:rPr>
            </w:pPr>
          </w:p>
        </w:tc>
        <w:tc>
          <w:tcPr>
            <w:tcW w:w="1900" w:type="dxa"/>
            <w:noWrap w:val="0"/>
            <w:vAlign w:val="center"/>
          </w:tcPr>
          <w:p w14:paraId="7DDF72F5">
            <w:pPr>
              <w:keepNext w:val="0"/>
              <w:keepLines w:val="0"/>
              <w:suppressLineNumbers w:val="0"/>
              <w:spacing w:before="0" w:beforeAutospacing="0" w:after="0" w:afterAutospacing="0"/>
              <w:ind w:left="0" w:leftChars="0" w:right="0" w:rightChars="0"/>
              <w:jc w:val="center"/>
              <w:rPr>
                <w:rFonts w:hint="eastAsia" w:ascii="黑体" w:cs="Times New Roman"/>
                <w:spacing w:val="0"/>
                <w:w w:val="100"/>
                <w:position w:val="0"/>
                <w:sz w:val="21"/>
                <w:lang w:val="en-US" w:eastAsia="zh-CN" w:bidi="ar-SA"/>
              </w:rPr>
            </w:pPr>
          </w:p>
        </w:tc>
      </w:tr>
      <w:tr w14:paraId="312679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14:paraId="16E8B3C5">
            <w:pPr>
              <w:keepNext w:val="0"/>
              <w:keepLines w:val="0"/>
              <w:suppressLineNumbers w:val="0"/>
              <w:spacing w:before="0" w:beforeAutospacing="0" w:after="0" w:afterAutospacing="0" w:line="400" w:lineRule="exact"/>
              <w:ind w:left="0" w:leftChars="0" w:right="0" w:rightChars="0"/>
              <w:jc w:val="center"/>
              <w:rPr>
                <w:rFonts w:hint="eastAsia" w:ascii="宋体" w:hAnsi="宋体"/>
                <w:sz w:val="21"/>
                <w:szCs w:val="21"/>
                <w:lang w:val="en-US" w:eastAsia="zh-CN"/>
              </w:rPr>
            </w:pPr>
          </w:p>
        </w:tc>
        <w:tc>
          <w:tcPr>
            <w:tcW w:w="1037" w:type="dxa"/>
            <w:noWrap w:val="0"/>
            <w:vAlign w:val="center"/>
          </w:tcPr>
          <w:p w14:paraId="256DD392">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rPr>
            </w:pPr>
          </w:p>
        </w:tc>
        <w:tc>
          <w:tcPr>
            <w:tcW w:w="826" w:type="dxa"/>
            <w:noWrap w:val="0"/>
            <w:vAlign w:val="center"/>
          </w:tcPr>
          <w:p w14:paraId="76D4D0E3">
            <w:pPr>
              <w:keepNext w:val="0"/>
              <w:keepLines w:val="0"/>
              <w:suppressLineNumbers w:val="0"/>
              <w:spacing w:before="0" w:beforeAutospacing="0" w:after="0" w:afterAutospacing="0" w:line="400" w:lineRule="exact"/>
              <w:ind w:left="0" w:leftChars="0" w:right="0" w:rightChars="0"/>
              <w:jc w:val="center"/>
              <w:rPr>
                <w:rFonts w:hint="eastAsia" w:ascii="宋体" w:hAnsi="宋体"/>
                <w:sz w:val="21"/>
                <w:szCs w:val="21"/>
                <w:lang w:eastAsia="zh-CN"/>
              </w:rPr>
            </w:pPr>
          </w:p>
        </w:tc>
        <w:tc>
          <w:tcPr>
            <w:tcW w:w="825" w:type="dxa"/>
            <w:noWrap w:val="0"/>
            <w:vAlign w:val="center"/>
          </w:tcPr>
          <w:p w14:paraId="6557342B">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lang w:val="en-US" w:eastAsia="zh-CN"/>
              </w:rPr>
            </w:pPr>
          </w:p>
        </w:tc>
        <w:tc>
          <w:tcPr>
            <w:tcW w:w="825" w:type="dxa"/>
            <w:noWrap w:val="0"/>
            <w:vAlign w:val="center"/>
          </w:tcPr>
          <w:p w14:paraId="181CC78D">
            <w:pPr>
              <w:keepNext w:val="0"/>
              <w:keepLines w:val="0"/>
              <w:suppressLineNumbers w:val="0"/>
              <w:spacing w:before="0" w:beforeAutospacing="0" w:after="0" w:afterAutospacing="0" w:line="400" w:lineRule="exact"/>
              <w:ind w:left="0" w:leftChars="0" w:right="0" w:rightChars="0"/>
              <w:jc w:val="center"/>
              <w:rPr>
                <w:rFonts w:hint="eastAsia" w:ascii="宋体" w:hAnsi="宋体"/>
                <w:sz w:val="21"/>
                <w:szCs w:val="21"/>
                <w:lang w:eastAsia="zh-CN"/>
              </w:rPr>
            </w:pPr>
          </w:p>
        </w:tc>
        <w:tc>
          <w:tcPr>
            <w:tcW w:w="997" w:type="dxa"/>
            <w:noWrap w:val="0"/>
            <w:vAlign w:val="center"/>
          </w:tcPr>
          <w:p w14:paraId="7250C51E">
            <w:pPr>
              <w:keepNext w:val="0"/>
              <w:keepLines w:val="0"/>
              <w:suppressLineNumbers w:val="0"/>
              <w:spacing w:before="0" w:beforeAutospacing="0" w:after="0" w:afterAutospacing="0" w:line="400" w:lineRule="exact"/>
              <w:ind w:left="0" w:right="0"/>
              <w:jc w:val="left"/>
              <w:rPr>
                <w:rFonts w:hint="eastAsia" w:ascii="黑体"/>
                <w:spacing w:val="0"/>
                <w:w w:val="100"/>
                <w:position w:val="0"/>
                <w:sz w:val="21"/>
                <w:lang w:eastAsia="zh-CN"/>
              </w:rPr>
            </w:pPr>
          </w:p>
        </w:tc>
        <w:tc>
          <w:tcPr>
            <w:tcW w:w="1534" w:type="dxa"/>
            <w:noWrap w:val="0"/>
            <w:vAlign w:val="center"/>
          </w:tcPr>
          <w:p w14:paraId="38254EFB">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lang w:eastAsia="zh-CN"/>
              </w:rPr>
            </w:pPr>
          </w:p>
        </w:tc>
        <w:tc>
          <w:tcPr>
            <w:tcW w:w="1100" w:type="dxa"/>
            <w:noWrap w:val="0"/>
            <w:vAlign w:val="center"/>
          </w:tcPr>
          <w:p w14:paraId="2E7BD2D1">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lang w:val="en-US" w:eastAsia="zh-CN"/>
              </w:rPr>
            </w:pPr>
          </w:p>
        </w:tc>
        <w:tc>
          <w:tcPr>
            <w:tcW w:w="1900" w:type="dxa"/>
            <w:noWrap w:val="0"/>
            <w:vAlign w:val="center"/>
          </w:tcPr>
          <w:p w14:paraId="719CD32E">
            <w:pPr>
              <w:keepNext w:val="0"/>
              <w:keepLines w:val="0"/>
              <w:suppressLineNumbers w:val="0"/>
              <w:spacing w:before="0" w:beforeAutospacing="0" w:after="0" w:afterAutospacing="0"/>
              <w:ind w:left="0" w:leftChars="0" w:right="0" w:rightChars="0"/>
              <w:jc w:val="center"/>
              <w:rPr>
                <w:rFonts w:hint="eastAsia" w:ascii="黑体" w:cs="Times New Roman"/>
                <w:spacing w:val="0"/>
                <w:w w:val="100"/>
                <w:position w:val="0"/>
                <w:sz w:val="21"/>
                <w:lang w:val="en-US" w:eastAsia="zh-CN" w:bidi="ar-SA"/>
              </w:rPr>
            </w:pPr>
          </w:p>
        </w:tc>
      </w:tr>
      <w:tr w14:paraId="67FE32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14:paraId="4FC30D7A">
            <w:pPr>
              <w:keepNext w:val="0"/>
              <w:keepLines w:val="0"/>
              <w:suppressLineNumbers w:val="0"/>
              <w:spacing w:before="0" w:beforeAutospacing="0" w:after="0" w:afterAutospacing="0" w:line="400" w:lineRule="exact"/>
              <w:ind w:left="0" w:leftChars="0" w:right="0" w:rightChars="0"/>
              <w:jc w:val="center"/>
              <w:rPr>
                <w:rFonts w:hint="eastAsia" w:ascii="宋体" w:hAnsi="宋体" w:cs="Times New Roman"/>
                <w:sz w:val="21"/>
                <w:szCs w:val="21"/>
                <w:lang w:val="en-US" w:eastAsia="zh-CN" w:bidi="ar-SA"/>
              </w:rPr>
            </w:pPr>
          </w:p>
        </w:tc>
        <w:tc>
          <w:tcPr>
            <w:tcW w:w="1037" w:type="dxa"/>
            <w:noWrap w:val="0"/>
            <w:vAlign w:val="center"/>
          </w:tcPr>
          <w:p w14:paraId="2EA01B2C">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lang w:eastAsia="zh-CN"/>
              </w:rPr>
            </w:pPr>
          </w:p>
        </w:tc>
        <w:tc>
          <w:tcPr>
            <w:tcW w:w="826" w:type="dxa"/>
            <w:noWrap w:val="0"/>
            <w:vAlign w:val="center"/>
          </w:tcPr>
          <w:p w14:paraId="1E89D3A7">
            <w:pPr>
              <w:keepNext w:val="0"/>
              <w:keepLines w:val="0"/>
              <w:suppressLineNumbers w:val="0"/>
              <w:spacing w:before="0" w:beforeAutospacing="0" w:after="0" w:afterAutospacing="0" w:line="400" w:lineRule="exact"/>
              <w:ind w:left="0" w:leftChars="0" w:right="0" w:rightChars="0"/>
              <w:jc w:val="center"/>
              <w:rPr>
                <w:rFonts w:hint="eastAsia" w:ascii="宋体" w:hAnsi="宋体"/>
                <w:sz w:val="21"/>
                <w:szCs w:val="21"/>
                <w:lang w:eastAsia="zh-CN"/>
              </w:rPr>
            </w:pPr>
          </w:p>
        </w:tc>
        <w:tc>
          <w:tcPr>
            <w:tcW w:w="825" w:type="dxa"/>
            <w:noWrap w:val="0"/>
            <w:vAlign w:val="center"/>
          </w:tcPr>
          <w:p w14:paraId="7EB5B495">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lang w:val="en-US" w:eastAsia="zh-CN"/>
              </w:rPr>
            </w:pPr>
          </w:p>
        </w:tc>
        <w:tc>
          <w:tcPr>
            <w:tcW w:w="825" w:type="dxa"/>
            <w:noWrap w:val="0"/>
            <w:vAlign w:val="center"/>
          </w:tcPr>
          <w:p w14:paraId="6C834AFA">
            <w:pPr>
              <w:keepNext w:val="0"/>
              <w:keepLines w:val="0"/>
              <w:suppressLineNumbers w:val="0"/>
              <w:spacing w:before="0" w:beforeAutospacing="0" w:after="0" w:afterAutospacing="0" w:line="400" w:lineRule="exact"/>
              <w:ind w:left="0" w:leftChars="0" w:right="0" w:rightChars="0"/>
              <w:jc w:val="center"/>
              <w:rPr>
                <w:rFonts w:hint="eastAsia" w:ascii="宋体" w:hAnsi="宋体"/>
                <w:sz w:val="21"/>
                <w:szCs w:val="21"/>
                <w:lang w:eastAsia="zh-CN"/>
              </w:rPr>
            </w:pPr>
          </w:p>
        </w:tc>
        <w:tc>
          <w:tcPr>
            <w:tcW w:w="997" w:type="dxa"/>
            <w:noWrap w:val="0"/>
            <w:vAlign w:val="center"/>
          </w:tcPr>
          <w:p w14:paraId="261DA837">
            <w:pPr>
              <w:keepNext w:val="0"/>
              <w:keepLines w:val="0"/>
              <w:suppressLineNumbers w:val="0"/>
              <w:spacing w:before="0" w:beforeAutospacing="0" w:after="0" w:afterAutospacing="0" w:line="400" w:lineRule="exact"/>
              <w:ind w:left="0" w:leftChars="0" w:right="0" w:rightChars="0"/>
              <w:jc w:val="center"/>
              <w:rPr>
                <w:rFonts w:hint="eastAsia" w:ascii="黑体"/>
                <w:spacing w:val="0"/>
                <w:w w:val="100"/>
                <w:position w:val="0"/>
                <w:sz w:val="21"/>
                <w:lang w:eastAsia="zh-CN"/>
              </w:rPr>
            </w:pPr>
          </w:p>
        </w:tc>
        <w:tc>
          <w:tcPr>
            <w:tcW w:w="1534" w:type="dxa"/>
            <w:noWrap w:val="0"/>
            <w:vAlign w:val="center"/>
          </w:tcPr>
          <w:p w14:paraId="6C12A5AB">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lang w:eastAsia="zh-CN"/>
              </w:rPr>
            </w:pPr>
          </w:p>
        </w:tc>
        <w:tc>
          <w:tcPr>
            <w:tcW w:w="1100" w:type="dxa"/>
            <w:noWrap w:val="0"/>
            <w:vAlign w:val="center"/>
          </w:tcPr>
          <w:p w14:paraId="2C5A3929">
            <w:pPr>
              <w:keepNext w:val="0"/>
              <w:keepLines w:val="0"/>
              <w:suppressLineNumbers w:val="0"/>
              <w:spacing w:before="0" w:beforeAutospacing="0" w:after="0" w:afterAutospacing="0"/>
              <w:ind w:left="0" w:leftChars="0" w:right="0" w:rightChars="0"/>
              <w:jc w:val="center"/>
              <w:rPr>
                <w:rFonts w:hint="eastAsia" w:ascii="黑体"/>
                <w:spacing w:val="0"/>
                <w:w w:val="100"/>
                <w:position w:val="0"/>
                <w:sz w:val="21"/>
                <w:lang w:val="en-US" w:eastAsia="zh-CN"/>
              </w:rPr>
            </w:pPr>
          </w:p>
        </w:tc>
        <w:tc>
          <w:tcPr>
            <w:tcW w:w="1900" w:type="dxa"/>
            <w:noWrap w:val="0"/>
            <w:vAlign w:val="center"/>
          </w:tcPr>
          <w:p w14:paraId="37EEC027">
            <w:pPr>
              <w:keepNext w:val="0"/>
              <w:keepLines w:val="0"/>
              <w:suppressLineNumbers w:val="0"/>
              <w:spacing w:before="0" w:beforeAutospacing="0" w:after="0" w:afterAutospacing="0"/>
              <w:ind w:left="0" w:leftChars="0" w:right="0" w:rightChars="0"/>
              <w:jc w:val="center"/>
              <w:rPr>
                <w:rFonts w:hint="eastAsia" w:ascii="黑体" w:cs="Times New Roman"/>
                <w:spacing w:val="0"/>
                <w:w w:val="100"/>
                <w:position w:val="0"/>
                <w:sz w:val="21"/>
                <w:lang w:val="en-US" w:eastAsia="zh-CN" w:bidi="ar-SA"/>
              </w:rPr>
            </w:pPr>
          </w:p>
        </w:tc>
      </w:tr>
      <w:tr w14:paraId="451CB4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39" w:type="dxa"/>
            <w:noWrap w:val="0"/>
            <w:vAlign w:val="center"/>
          </w:tcPr>
          <w:p w14:paraId="3788A74E">
            <w:pPr>
              <w:keepNext w:val="0"/>
              <w:keepLines w:val="0"/>
              <w:suppressLineNumbers w:val="0"/>
              <w:spacing w:before="0" w:beforeAutospacing="0" w:after="0" w:afterAutospacing="0" w:line="400" w:lineRule="exact"/>
              <w:ind w:left="0" w:leftChars="0" w:right="0" w:rightChars="0"/>
              <w:jc w:val="center"/>
              <w:rPr>
                <w:rFonts w:hint="default" w:ascii="宋体" w:hAnsi="宋体" w:cs="Times New Roman"/>
                <w:sz w:val="21"/>
                <w:szCs w:val="21"/>
                <w:lang w:val="en-US" w:eastAsia="zh-CN" w:bidi="ar-SA"/>
              </w:rPr>
            </w:pPr>
          </w:p>
        </w:tc>
        <w:tc>
          <w:tcPr>
            <w:tcW w:w="1037" w:type="dxa"/>
            <w:noWrap w:val="0"/>
            <w:vAlign w:val="center"/>
          </w:tcPr>
          <w:p w14:paraId="424027B1">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Times New Roman"/>
                <w:kern w:val="2"/>
                <w:sz w:val="21"/>
                <w:szCs w:val="21"/>
                <w:lang w:val="en-US" w:eastAsia="zh-CN" w:bidi="ar-SA"/>
              </w:rPr>
            </w:pPr>
          </w:p>
        </w:tc>
        <w:tc>
          <w:tcPr>
            <w:tcW w:w="826" w:type="dxa"/>
            <w:noWrap w:val="0"/>
            <w:vAlign w:val="center"/>
          </w:tcPr>
          <w:p w14:paraId="2EEE677C">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Times New Roman"/>
                <w:kern w:val="2"/>
                <w:sz w:val="21"/>
                <w:szCs w:val="21"/>
                <w:lang w:val="en-US" w:eastAsia="zh-CN" w:bidi="ar-SA"/>
              </w:rPr>
            </w:pPr>
          </w:p>
        </w:tc>
        <w:tc>
          <w:tcPr>
            <w:tcW w:w="825" w:type="dxa"/>
            <w:noWrap w:val="0"/>
            <w:vAlign w:val="center"/>
          </w:tcPr>
          <w:p w14:paraId="3C21F6EE">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Times New Roman"/>
                <w:kern w:val="2"/>
                <w:sz w:val="21"/>
                <w:szCs w:val="21"/>
                <w:lang w:val="en-US" w:eastAsia="zh-CN" w:bidi="ar-SA"/>
              </w:rPr>
            </w:pPr>
          </w:p>
        </w:tc>
        <w:tc>
          <w:tcPr>
            <w:tcW w:w="825" w:type="dxa"/>
            <w:noWrap w:val="0"/>
            <w:vAlign w:val="center"/>
          </w:tcPr>
          <w:p w14:paraId="6B38446A">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Times New Roman"/>
                <w:kern w:val="2"/>
                <w:sz w:val="21"/>
                <w:szCs w:val="21"/>
                <w:lang w:val="en-US" w:eastAsia="zh-CN" w:bidi="ar-SA"/>
              </w:rPr>
            </w:pPr>
          </w:p>
        </w:tc>
        <w:tc>
          <w:tcPr>
            <w:tcW w:w="997" w:type="dxa"/>
            <w:noWrap w:val="0"/>
            <w:vAlign w:val="center"/>
          </w:tcPr>
          <w:p w14:paraId="0083DEA1">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Times New Roman"/>
                <w:kern w:val="2"/>
                <w:sz w:val="21"/>
                <w:szCs w:val="21"/>
                <w:lang w:val="en-US" w:eastAsia="zh-CN" w:bidi="ar-SA"/>
              </w:rPr>
            </w:pPr>
          </w:p>
        </w:tc>
        <w:tc>
          <w:tcPr>
            <w:tcW w:w="1534" w:type="dxa"/>
            <w:noWrap w:val="0"/>
            <w:vAlign w:val="center"/>
          </w:tcPr>
          <w:p w14:paraId="4E49E7B2">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Times New Roman"/>
                <w:kern w:val="2"/>
                <w:sz w:val="21"/>
                <w:szCs w:val="21"/>
                <w:lang w:val="en-US" w:eastAsia="zh-CN" w:bidi="ar-SA"/>
              </w:rPr>
            </w:pPr>
          </w:p>
        </w:tc>
        <w:tc>
          <w:tcPr>
            <w:tcW w:w="1100" w:type="dxa"/>
            <w:noWrap w:val="0"/>
            <w:vAlign w:val="center"/>
          </w:tcPr>
          <w:p w14:paraId="20DBBD56">
            <w:pPr>
              <w:keepNext w:val="0"/>
              <w:keepLines w:val="0"/>
              <w:suppressLineNumbers w:val="0"/>
              <w:spacing w:before="0" w:beforeAutospacing="0" w:after="0" w:afterAutospacing="0" w:line="400" w:lineRule="exact"/>
              <w:ind w:left="0" w:leftChars="0" w:right="0" w:rightChars="0"/>
              <w:jc w:val="center"/>
              <w:rPr>
                <w:rFonts w:hint="eastAsia" w:ascii="宋体" w:hAnsi="宋体" w:eastAsia="宋体" w:cs="Times New Roman"/>
                <w:kern w:val="2"/>
                <w:sz w:val="21"/>
                <w:szCs w:val="21"/>
                <w:lang w:val="en-US" w:eastAsia="zh-CN" w:bidi="ar-SA"/>
              </w:rPr>
            </w:pPr>
          </w:p>
        </w:tc>
        <w:tc>
          <w:tcPr>
            <w:tcW w:w="1900" w:type="dxa"/>
            <w:noWrap w:val="0"/>
            <w:vAlign w:val="center"/>
          </w:tcPr>
          <w:p w14:paraId="741F57FB">
            <w:pPr>
              <w:keepNext w:val="0"/>
              <w:keepLines w:val="0"/>
              <w:suppressLineNumbers w:val="0"/>
              <w:spacing w:before="0" w:beforeAutospacing="0" w:after="0" w:afterAutospacing="0"/>
              <w:ind w:left="0" w:leftChars="0" w:right="0" w:rightChars="0"/>
              <w:jc w:val="center"/>
              <w:rPr>
                <w:rFonts w:hint="eastAsia" w:ascii="黑体" w:hAnsi="Arial" w:eastAsia="宋体" w:cs="Arial"/>
                <w:snapToGrid w:val="0"/>
                <w:color w:val="000000"/>
                <w:spacing w:val="0"/>
                <w:w w:val="100"/>
                <w:kern w:val="0"/>
                <w:position w:val="0"/>
                <w:sz w:val="21"/>
                <w:szCs w:val="21"/>
                <w:lang w:val="en-US" w:eastAsia="zh-CN" w:bidi="ar-SA"/>
              </w:rPr>
            </w:pPr>
          </w:p>
        </w:tc>
      </w:tr>
    </w:tbl>
    <w:p w14:paraId="05D864FA">
      <w:pPr>
        <w:pStyle w:val="1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firstLine="482" w:firstLineChars="200"/>
        <w:jc w:val="both"/>
        <w:textAlignment w:val="baseline"/>
        <w:rPr>
          <w:rFonts w:hint="eastAsia" w:asciiTheme="minorEastAsia" w:hAnsiTheme="minorEastAsia" w:eastAsiaTheme="minorEastAsia"/>
          <w:bCs/>
          <w:color w:val="auto"/>
          <w:sz w:val="21"/>
          <w:szCs w:val="21"/>
          <w:lang w:eastAsia="zh-CN"/>
        </w:rPr>
      </w:pPr>
      <w:r>
        <w:rPr>
          <w:rFonts w:hint="eastAsia"/>
          <w:b/>
          <w:bCs/>
          <w:lang w:val="en-US" w:eastAsia="zh-CN"/>
        </w:rPr>
        <w:t>注：</w:t>
      </w:r>
      <w:r>
        <w:rPr>
          <w:rFonts w:hint="eastAsia" w:asciiTheme="minorEastAsia" w:hAnsiTheme="minorEastAsia"/>
          <w:b/>
          <w:bCs/>
          <w:color w:val="auto"/>
          <w:sz w:val="21"/>
          <w:szCs w:val="21"/>
        </w:rPr>
        <w:t>★</w:t>
      </w:r>
      <w:r>
        <w:rPr>
          <w:rFonts w:hint="eastAsia" w:asciiTheme="minorEastAsia" w:hAnsiTheme="minorEastAsia"/>
          <w:b w:val="0"/>
          <w:bCs w:val="0"/>
          <w:color w:val="auto"/>
          <w:sz w:val="21"/>
          <w:szCs w:val="21"/>
        </w:rPr>
        <w:t>拟委派本项目负责人必须配有高级或以上的《餐饮服务食品安全管理员证》的管理员。</w:t>
      </w:r>
      <w:r>
        <w:rPr>
          <w:rFonts w:hint="eastAsia" w:asciiTheme="minorEastAsia" w:hAnsiTheme="minorEastAsia"/>
          <w:b/>
          <w:bCs w:val="0"/>
          <w:color w:val="auto"/>
          <w:sz w:val="21"/>
          <w:szCs w:val="21"/>
        </w:rPr>
        <w:t>（</w:t>
      </w:r>
      <w:r>
        <w:rPr>
          <w:rFonts w:hint="eastAsia" w:asciiTheme="minorEastAsia" w:hAnsiTheme="minorEastAsia"/>
          <w:b/>
          <w:bCs w:val="0"/>
          <w:color w:val="auto"/>
          <w:sz w:val="21"/>
          <w:szCs w:val="21"/>
          <w:lang w:val="en-US" w:eastAsia="zh-CN"/>
        </w:rPr>
        <w:t>响应文件中提供2024年6月至报名截止时间任意一个月由响应服务商为其购买的社保证明复印件并加盖公章；证书复印件，投标时提供证书原件核查）</w:t>
      </w:r>
      <w:r>
        <w:rPr>
          <w:rFonts w:hint="eastAsia" w:asciiTheme="minorEastAsia" w:hAnsiTheme="minorEastAsia"/>
          <w:bCs/>
          <w:color w:val="auto"/>
          <w:sz w:val="21"/>
          <w:szCs w:val="21"/>
          <w:lang w:eastAsia="zh-CN"/>
        </w:rPr>
        <w:t>。</w:t>
      </w:r>
    </w:p>
    <w:p w14:paraId="1EA088AE">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50627EC3">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3E1DDF0A">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2841D474">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0A090738">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34DF8656">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1C66C761">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5AB7C0B7">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58574F3B">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1084E6B1">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0A502919">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5BAE46E6">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44A6BB6A">
      <w:pPr>
        <w:keepNext w:val="0"/>
        <w:keepLines w:val="0"/>
        <w:pageBreakBefore w:val="0"/>
        <w:numPr>
          <w:ilvl w:val="0"/>
          <w:numId w:val="8"/>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r>
        <w:rPr>
          <w:rStyle w:val="33"/>
          <w:rFonts w:hint="eastAsia" w:hAnsi="宋体" w:cs="宋体"/>
          <w:b/>
          <w:bCs/>
          <w:color w:val="auto"/>
          <w:kern w:val="2"/>
          <w:sz w:val="21"/>
          <w:szCs w:val="21"/>
          <w:lang w:val="en-US" w:eastAsia="zh-CN"/>
        </w:rPr>
        <w:t>提供体现拟委派在本项目的负责人应为具有丰富从事集体食堂管理经验或从事医院集体食堂管理经验者的相关证明材料。</w:t>
      </w:r>
    </w:p>
    <w:p w14:paraId="7B2F21B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124E73B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6952040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2C8AEEC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7C38B19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682AFA0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4CFDE8C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5ED09FD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1D6C409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1CC56FB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7C61C5C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21273D0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1487A61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57E040E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261CD3E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568E9C1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56E46DB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39CB588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4B7E491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3C4D789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3B00418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4480AD1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5B4DE9A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3510E50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45352C5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01E3CE0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2EFEF9C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048F844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eastAsia" w:hAnsi="宋体" w:cs="宋体"/>
          <w:b/>
          <w:bCs/>
          <w:color w:val="auto"/>
          <w:kern w:val="2"/>
          <w:sz w:val="21"/>
          <w:szCs w:val="21"/>
          <w:lang w:val="en-US" w:eastAsia="zh-CN"/>
        </w:rPr>
      </w:pPr>
    </w:p>
    <w:p w14:paraId="529F52DC">
      <w:pPr>
        <w:keepNext w:val="0"/>
        <w:keepLines w:val="0"/>
        <w:pageBreakBefore w:val="0"/>
        <w:widowControl w:val="0"/>
        <w:numPr>
          <w:ilvl w:val="0"/>
          <w:numId w:val="8"/>
        </w:numPr>
        <w:shd w:val="clear"/>
        <w:kinsoku/>
        <w:wordWrap/>
        <w:overflowPunct/>
        <w:topLinePunct w:val="0"/>
        <w:autoSpaceDE/>
        <w:autoSpaceDN/>
        <w:bidi w:val="0"/>
        <w:adjustRightInd/>
        <w:snapToGrid/>
        <w:spacing w:line="360" w:lineRule="auto"/>
        <w:ind w:left="0" w:leftChars="0" w:firstLine="0" w:firstLineChars="0"/>
        <w:jc w:val="both"/>
        <w:textAlignment w:val="auto"/>
        <w:rPr>
          <w:rStyle w:val="33"/>
          <w:rFonts w:hint="eastAsia" w:hAnsi="宋体" w:cs="宋体"/>
          <w:b/>
          <w:bCs/>
          <w:color w:val="auto"/>
          <w:kern w:val="2"/>
          <w:sz w:val="21"/>
          <w:szCs w:val="21"/>
          <w:lang w:val="en-US" w:eastAsia="zh-CN"/>
        </w:rPr>
      </w:pPr>
      <w:r>
        <w:rPr>
          <w:rStyle w:val="33"/>
          <w:rFonts w:hint="eastAsia" w:hAnsi="宋体" w:cs="宋体"/>
          <w:b/>
          <w:bCs/>
          <w:color w:val="auto"/>
          <w:kern w:val="2"/>
          <w:sz w:val="21"/>
          <w:szCs w:val="21"/>
          <w:lang w:val="en-US" w:eastAsia="zh-CN"/>
        </w:rPr>
        <w:t>本项目需要提供的承诺函（详见采购需求书要求）</w:t>
      </w:r>
    </w:p>
    <w:p w14:paraId="1EC7674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1BDA065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2E90C86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604B57C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6955DD5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473A1CF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47FD668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76B6606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43C2FE2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2432978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632A4F1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576ABA9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19A69E3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6B2C12A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69C4603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606F474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1CFBCFB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0B9825A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6AA50A1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0D140FA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3592440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09184A9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77992E8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4519F6C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75EA52F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2C92A30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794A33E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2B3B079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4399904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auto"/>
        <w:jc w:val="both"/>
        <w:textAlignment w:val="auto"/>
        <w:rPr>
          <w:rStyle w:val="33"/>
          <w:rFonts w:hint="default" w:hAnsi="宋体" w:cs="宋体"/>
          <w:b/>
          <w:bCs/>
          <w:color w:val="auto"/>
          <w:kern w:val="2"/>
          <w:sz w:val="21"/>
          <w:szCs w:val="21"/>
          <w:lang w:val="en-US" w:eastAsia="zh-CN"/>
        </w:rPr>
      </w:pPr>
    </w:p>
    <w:p w14:paraId="2B8D9D40">
      <w:pPr>
        <w:keepNext w:val="0"/>
        <w:keepLines w:val="0"/>
        <w:pageBreakBefore w:val="0"/>
        <w:numPr>
          <w:ilvl w:val="0"/>
          <w:numId w:val="0"/>
        </w:numPr>
        <w:shd w:val="clear"/>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32"/>
          <w:szCs w:val="32"/>
        </w:rPr>
      </w:pPr>
      <w:r>
        <w:rPr>
          <w:rStyle w:val="33"/>
          <w:rFonts w:hint="eastAsia" w:hAnsi="宋体" w:cs="宋体"/>
          <w:b/>
          <w:bCs/>
          <w:color w:val="auto"/>
          <w:kern w:val="2"/>
          <w:sz w:val="21"/>
          <w:szCs w:val="21"/>
          <w:lang w:val="en-US" w:eastAsia="zh-CN"/>
        </w:rPr>
        <w:t>十七、</w:t>
      </w:r>
      <w:bookmarkEnd w:id="20"/>
      <w:bookmarkEnd w:id="21"/>
      <w:bookmarkEnd w:id="22"/>
      <w:bookmarkEnd w:id="23"/>
      <w:bookmarkEnd w:id="24"/>
      <w:bookmarkEnd w:id="25"/>
      <w:r>
        <w:rPr>
          <w:rStyle w:val="33"/>
          <w:rFonts w:hint="eastAsia" w:ascii="Times New Roman" w:hAnsi="宋体" w:eastAsia="宋体" w:cs="宋体"/>
          <w:b/>
          <w:bCs/>
          <w:color w:val="auto"/>
          <w:kern w:val="2"/>
          <w:sz w:val="21"/>
          <w:szCs w:val="21"/>
          <w:lang w:val="en-US" w:eastAsia="zh-CN"/>
        </w:rPr>
        <w:t>参数响应表</w:t>
      </w:r>
    </w:p>
    <w:p w14:paraId="087F6346">
      <w:pPr>
        <w:pStyle w:val="7"/>
        <w:spacing w:line="360" w:lineRule="auto"/>
        <w:jc w:val="center"/>
        <w:rPr>
          <w:rFonts w:hint="eastAsia" w:ascii="宋体" w:hAnsi="宋体" w:eastAsia="宋体" w:cs="宋体"/>
          <w:b/>
          <w:bCs/>
          <w:kern w:val="0"/>
          <w:sz w:val="30"/>
          <w:szCs w:val="30"/>
          <w:lang w:val="en-US" w:eastAsia="zh-CN"/>
        </w:rPr>
      </w:pPr>
      <w:r>
        <w:rPr>
          <w:rFonts w:hint="eastAsia" w:ascii="宋体" w:hAnsi="宋体" w:eastAsia="宋体" w:cs="宋体"/>
          <w:b/>
          <w:bCs/>
          <w:kern w:val="0"/>
          <w:sz w:val="30"/>
          <w:szCs w:val="30"/>
          <w:lang w:val="en-US" w:eastAsia="zh-CN"/>
        </w:rPr>
        <w:t>参数响应表</w:t>
      </w:r>
    </w:p>
    <w:p w14:paraId="04E0D07F">
      <w:pPr>
        <w:keepNext w:val="0"/>
        <w:keepLines w:val="0"/>
        <w:pageBreakBefore w:val="0"/>
        <w:shd w:val="clear"/>
        <w:kinsoku/>
        <w:wordWrap/>
        <w:overflowPunct/>
        <w:topLinePunct w:val="0"/>
        <w:autoSpaceDE/>
        <w:autoSpaceDN/>
        <w:bidi w:val="0"/>
        <w:adjustRightInd/>
        <w:snapToGrid/>
        <w:spacing w:line="360" w:lineRule="auto"/>
        <w:jc w:val="both"/>
        <w:textAlignment w:val="auto"/>
        <w:rPr>
          <w:rStyle w:val="33"/>
          <w:rFonts w:hint="eastAsia" w:hAnsi="宋体" w:cs="宋体"/>
          <w:b w:val="0"/>
          <w:bCs w:val="0"/>
          <w:color w:val="auto"/>
          <w:kern w:val="2"/>
          <w:sz w:val="21"/>
          <w:szCs w:val="21"/>
          <w:lang w:val="en-US" w:eastAsia="zh-CN"/>
        </w:rPr>
      </w:pPr>
      <w:r>
        <w:rPr>
          <w:rStyle w:val="33"/>
          <w:rFonts w:hint="eastAsia" w:hAnsi="宋体" w:cs="宋体"/>
          <w:b w:val="0"/>
          <w:bCs w:val="0"/>
          <w:color w:val="auto"/>
          <w:kern w:val="2"/>
          <w:sz w:val="21"/>
          <w:szCs w:val="21"/>
          <w:lang w:val="en-US" w:eastAsia="zh-CN"/>
        </w:rPr>
        <w:t>填写要求：</w:t>
      </w:r>
    </w:p>
    <w:p w14:paraId="4423D98B">
      <w:pPr>
        <w:keepNext w:val="0"/>
        <w:keepLines w:val="0"/>
        <w:pageBreakBefore w:val="0"/>
        <w:shd w:val="clear"/>
        <w:kinsoku/>
        <w:wordWrap/>
        <w:overflowPunct/>
        <w:topLinePunct w:val="0"/>
        <w:autoSpaceDE/>
        <w:autoSpaceDN/>
        <w:bidi w:val="0"/>
        <w:adjustRightInd/>
        <w:snapToGrid/>
        <w:spacing w:line="360" w:lineRule="auto"/>
        <w:jc w:val="both"/>
        <w:textAlignment w:val="auto"/>
        <w:rPr>
          <w:rStyle w:val="33"/>
          <w:rFonts w:hint="eastAsia" w:hAnsi="宋体" w:cs="宋体"/>
          <w:b w:val="0"/>
          <w:bCs w:val="0"/>
          <w:color w:val="auto"/>
          <w:kern w:val="2"/>
          <w:sz w:val="21"/>
          <w:szCs w:val="21"/>
          <w:lang w:val="en-US" w:eastAsia="zh-CN"/>
        </w:rPr>
      </w:pPr>
      <w:r>
        <w:rPr>
          <w:rStyle w:val="33"/>
          <w:rFonts w:hint="eastAsia" w:hAnsi="宋体" w:cs="宋体"/>
          <w:b w:val="0"/>
          <w:bCs w:val="0"/>
          <w:color w:val="auto"/>
          <w:kern w:val="2"/>
          <w:sz w:val="21"/>
          <w:szCs w:val="21"/>
          <w:lang w:val="en-US" w:eastAsia="zh-CN"/>
        </w:rPr>
        <w:t>1、请按用户需求的要求逐条响应，正负偏离参数请备注说明。</w:t>
      </w:r>
    </w:p>
    <w:p w14:paraId="4AF15E25">
      <w:pPr>
        <w:keepNext w:val="0"/>
        <w:keepLines w:val="0"/>
        <w:pageBreakBefore w:val="0"/>
        <w:shd w:val="clear"/>
        <w:kinsoku/>
        <w:wordWrap/>
        <w:overflowPunct/>
        <w:topLinePunct w:val="0"/>
        <w:autoSpaceDE/>
        <w:autoSpaceDN/>
        <w:bidi w:val="0"/>
        <w:adjustRightInd/>
        <w:snapToGrid/>
        <w:spacing w:line="360" w:lineRule="auto"/>
        <w:jc w:val="both"/>
        <w:textAlignment w:val="auto"/>
        <w:rPr>
          <w:rStyle w:val="33"/>
          <w:rFonts w:hint="eastAsia" w:hAnsi="宋体" w:cs="宋体"/>
          <w:b w:val="0"/>
          <w:bCs w:val="0"/>
          <w:color w:val="auto"/>
          <w:kern w:val="2"/>
          <w:sz w:val="21"/>
          <w:szCs w:val="21"/>
          <w:lang w:val="en-US" w:eastAsia="zh-CN"/>
        </w:rPr>
      </w:pPr>
      <w:r>
        <w:rPr>
          <w:rStyle w:val="33"/>
          <w:rFonts w:hint="eastAsia" w:hAnsi="宋体" w:cs="宋体"/>
          <w:b w:val="0"/>
          <w:bCs w:val="0"/>
          <w:color w:val="auto"/>
          <w:kern w:val="2"/>
          <w:sz w:val="21"/>
          <w:szCs w:val="21"/>
          <w:lang w:val="en-US" w:eastAsia="zh-CN"/>
        </w:rPr>
        <w:t>2、其中带★的参数是必须完全响应的参数。</w:t>
      </w:r>
    </w:p>
    <w:p w14:paraId="1559DB42">
      <w:pPr>
        <w:pStyle w:val="8"/>
        <w:rPr>
          <w:rFonts w:hint="eastAsia"/>
          <w:lang w:val="en-US" w:eastAsia="zh-CN"/>
        </w:rPr>
      </w:pPr>
    </w:p>
    <w:tbl>
      <w:tblPr>
        <w:tblStyle w:val="21"/>
        <w:tblW w:w="1092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781"/>
        <w:gridCol w:w="5593"/>
        <w:gridCol w:w="1542"/>
        <w:gridCol w:w="1506"/>
        <w:gridCol w:w="1506"/>
      </w:tblGrid>
      <w:tr w14:paraId="768F2F4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793"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B7AEF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Style w:val="33"/>
                <w:rFonts w:hint="eastAsia" w:ascii="宋体" w:hAnsi="宋体" w:eastAsia="宋体" w:cs="宋体"/>
                <w:b w:val="0"/>
                <w:bCs w:val="0"/>
                <w:color w:val="auto"/>
                <w:kern w:val="2"/>
                <w:sz w:val="21"/>
                <w:szCs w:val="21"/>
                <w:lang w:val="zh-TW" w:eastAsia="zh-TW"/>
              </w:rPr>
              <w:t>序号</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89507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Style w:val="33"/>
                <w:rFonts w:hint="eastAsia" w:ascii="宋体" w:hAnsi="宋体" w:eastAsia="宋体" w:cs="宋体"/>
                <w:b w:val="0"/>
                <w:bCs w:val="0"/>
                <w:color w:val="auto"/>
                <w:kern w:val="2"/>
                <w:sz w:val="21"/>
                <w:szCs w:val="21"/>
                <w:lang w:val="en-US" w:eastAsia="zh-CN"/>
              </w:rPr>
              <w:t>用户</w:t>
            </w:r>
            <w:r>
              <w:rPr>
                <w:rStyle w:val="33"/>
                <w:rFonts w:hint="eastAsia" w:ascii="宋体" w:hAnsi="宋体" w:eastAsia="宋体" w:cs="宋体"/>
                <w:b w:val="0"/>
                <w:bCs w:val="0"/>
                <w:color w:val="auto"/>
                <w:kern w:val="2"/>
                <w:sz w:val="21"/>
                <w:szCs w:val="21"/>
                <w:lang w:val="zh-TW" w:eastAsia="zh-CN"/>
              </w:rPr>
              <w:t>需求的</w:t>
            </w:r>
            <w:r>
              <w:rPr>
                <w:rStyle w:val="33"/>
                <w:rFonts w:hint="eastAsia" w:ascii="宋体" w:hAnsi="宋体" w:eastAsia="宋体" w:cs="宋体"/>
                <w:b w:val="0"/>
                <w:bCs w:val="0"/>
                <w:color w:val="auto"/>
                <w:kern w:val="2"/>
                <w:sz w:val="21"/>
                <w:szCs w:val="21"/>
                <w:lang w:val="zh-TW" w:eastAsia="zh-TW"/>
              </w:rPr>
              <w:t>要求</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75D32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r>
              <w:rPr>
                <w:rStyle w:val="33"/>
                <w:rFonts w:hint="eastAsia" w:ascii="宋体" w:hAnsi="宋体" w:eastAsia="宋体" w:cs="宋体"/>
                <w:b w:val="0"/>
                <w:bCs w:val="0"/>
                <w:color w:val="auto"/>
                <w:kern w:val="2"/>
                <w:sz w:val="21"/>
                <w:szCs w:val="21"/>
                <w:lang w:val="zh-TW" w:eastAsia="zh-CN"/>
              </w:rPr>
              <w:t>完全响应或</w:t>
            </w:r>
          </w:p>
          <w:p w14:paraId="2F0F60A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Style w:val="33"/>
                <w:rFonts w:hint="eastAsia" w:ascii="宋体" w:hAnsi="宋体" w:eastAsia="宋体" w:cs="宋体"/>
                <w:b w:val="0"/>
                <w:bCs w:val="0"/>
                <w:color w:val="auto"/>
                <w:kern w:val="2"/>
                <w:sz w:val="21"/>
                <w:szCs w:val="21"/>
                <w:lang w:val="zh-TW" w:eastAsia="zh-CN"/>
              </w:rPr>
              <w:t>正/负偏离</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BCF02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Style w:val="33"/>
                <w:rFonts w:hint="eastAsia" w:ascii="宋体" w:hAnsi="宋体" w:eastAsia="宋体" w:cs="宋体"/>
                <w:b w:val="0"/>
                <w:bCs w:val="0"/>
                <w:color w:val="auto"/>
                <w:kern w:val="2"/>
                <w:sz w:val="21"/>
                <w:szCs w:val="21"/>
                <w:lang w:val="zh-TW" w:eastAsia="zh-TW"/>
              </w:rPr>
              <w:t>偏离情况</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53E72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遴选文件所在位置</w:t>
            </w:r>
          </w:p>
        </w:tc>
      </w:tr>
      <w:tr w14:paraId="1E82CB5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530" w:hRule="atLeast"/>
          <w:jc w:val="center"/>
        </w:trPr>
        <w:tc>
          <w:tcPr>
            <w:tcW w:w="94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354809">
            <w:pPr>
              <w:pStyle w:val="18"/>
              <w:keepNext w:val="0"/>
              <w:keepLines w:val="0"/>
              <w:pageBreakBefore w:val="0"/>
              <w:widowControl/>
              <w:suppressLineNumbers w:val="0"/>
              <w:kinsoku/>
              <w:wordWrap/>
              <w:overflowPunct/>
              <w:topLinePunct w:val="0"/>
              <w:autoSpaceDN/>
              <w:bidi w:val="0"/>
              <w:adjustRightInd/>
              <w:spacing w:before="0" w:beforeAutospacing="0" w:after="0" w:afterAutospacing="0" w:line="300" w:lineRule="auto"/>
              <w:ind w:left="0" w:right="0"/>
              <w:jc w:val="left"/>
              <w:textAlignment w:val="baseline"/>
              <w:rPr>
                <w:rStyle w:val="33"/>
                <w:rFonts w:hint="eastAsia" w:ascii="宋体" w:hAnsi="宋体" w:eastAsia="宋体" w:cs="宋体"/>
                <w:b w:val="0"/>
                <w:bCs w:val="0"/>
                <w:color w:val="auto"/>
                <w:kern w:val="2"/>
                <w:sz w:val="21"/>
                <w:szCs w:val="21"/>
                <w:lang w:val="zh-TW" w:eastAsia="zh-TW"/>
              </w:rPr>
            </w:pPr>
            <w:r>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t>一、项目概况</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5137EC">
            <w:pPr>
              <w:pStyle w:val="18"/>
              <w:keepNext w:val="0"/>
              <w:keepLines w:val="0"/>
              <w:pageBreakBefore w:val="0"/>
              <w:widowControl/>
              <w:suppressLineNumbers w:val="0"/>
              <w:kinsoku/>
              <w:wordWrap/>
              <w:overflowPunct/>
              <w:topLinePunct w:val="0"/>
              <w:autoSpaceDN/>
              <w:bidi w:val="0"/>
              <w:adjustRightInd/>
              <w:spacing w:before="0" w:beforeAutospacing="0" w:after="0" w:afterAutospacing="0" w:line="300" w:lineRule="auto"/>
              <w:ind w:left="0" w:right="0"/>
              <w:jc w:val="left"/>
              <w:textAlignment w:val="baseline"/>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pPr>
          </w:p>
        </w:tc>
      </w:tr>
      <w:tr w14:paraId="5141C13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FD8BC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Style w:val="33"/>
                <w:rFonts w:hint="eastAsia" w:ascii="宋体" w:hAnsi="宋体" w:eastAsia="宋体" w:cs="宋体"/>
                <w:b w:val="0"/>
                <w:bCs w:val="0"/>
                <w:color w:val="auto"/>
                <w:kern w:val="2"/>
                <w:sz w:val="21"/>
                <w:szCs w:val="21"/>
                <w:lang w:val="en-US" w:eastAsia="zh-CN"/>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6DF8B0">
            <w:pPr>
              <w:spacing w:line="240" w:lineRule="auto"/>
              <w:jc w:val="both"/>
              <w:rPr>
                <w:rFonts w:hint="eastAsia" w:ascii="宋体" w:hAnsi="宋体" w:eastAsia="宋体" w:cs="宋体"/>
                <w:i w:val="0"/>
                <w:iCs w:val="0"/>
                <w:caps w:val="0"/>
                <w:color w:val="auto"/>
                <w:spacing w:val="0"/>
                <w:sz w:val="21"/>
                <w:szCs w:val="21"/>
                <w:highlight w:val="none"/>
                <w:shd w:val="clear" w:color="auto" w:fill="FFFFFF"/>
                <w:vertAlign w:val="baseline"/>
                <w:lang w:val="zh-TW" w:eastAsia="zh-TW"/>
              </w:rPr>
            </w:pPr>
            <w:r>
              <w:rPr>
                <w:rFonts w:hint="eastAsia" w:ascii="宋体" w:hAnsi="宋体" w:eastAsia="宋体" w:cs="宋体"/>
                <w:i w:val="0"/>
                <w:iCs w:val="0"/>
                <w:caps w:val="0"/>
                <w:color w:val="auto"/>
                <w:spacing w:val="0"/>
                <w:sz w:val="21"/>
                <w:szCs w:val="21"/>
                <w:highlight w:val="none"/>
                <w:shd w:val="clear" w:color="auto" w:fill="FFFFFF"/>
                <w:vertAlign w:val="baseline"/>
                <w:lang w:val="zh-TW" w:eastAsia="zh-TW"/>
              </w:rPr>
              <w:t>1.项目名称：中山市小榄人民医院食堂经营遴选项目</w:t>
            </w:r>
          </w:p>
          <w:p w14:paraId="29777022">
            <w:pPr>
              <w:spacing w:line="240" w:lineRule="auto"/>
              <w:jc w:val="both"/>
              <w:rPr>
                <w:rFonts w:hint="eastAsia" w:ascii="宋体" w:hAnsi="宋体" w:eastAsia="宋体" w:cs="宋体"/>
                <w:i w:val="0"/>
                <w:iCs w:val="0"/>
                <w:caps w:val="0"/>
                <w:color w:val="auto"/>
                <w:spacing w:val="0"/>
                <w:sz w:val="21"/>
                <w:szCs w:val="21"/>
                <w:highlight w:val="none"/>
                <w:shd w:val="clear" w:color="auto" w:fill="FFFFFF"/>
                <w:vertAlign w:val="baseline"/>
                <w:lang w:val="zh-TW" w:eastAsia="zh-TW"/>
              </w:rPr>
            </w:pPr>
            <w:r>
              <w:rPr>
                <w:rFonts w:hint="eastAsia" w:ascii="宋体" w:hAnsi="宋体" w:eastAsia="宋体" w:cs="宋体"/>
                <w:i w:val="0"/>
                <w:iCs w:val="0"/>
                <w:caps w:val="0"/>
                <w:color w:val="auto"/>
                <w:spacing w:val="0"/>
                <w:sz w:val="21"/>
                <w:szCs w:val="21"/>
                <w:highlight w:val="none"/>
                <w:shd w:val="clear" w:color="auto" w:fill="FFFFFF"/>
                <w:vertAlign w:val="baseline"/>
                <w:lang w:val="zh-TW" w:eastAsia="zh-TW"/>
              </w:rPr>
              <w:t>2.项目编号：XLYY20250356</w:t>
            </w:r>
          </w:p>
          <w:p w14:paraId="3A0E0037">
            <w:pPr>
              <w:spacing w:line="240" w:lineRule="auto"/>
              <w:jc w:val="both"/>
              <w:rPr>
                <w:rFonts w:hint="eastAsia" w:ascii="宋体" w:hAnsi="宋体" w:eastAsia="宋体" w:cs="宋体"/>
                <w:i w:val="0"/>
                <w:iCs w:val="0"/>
                <w:caps w:val="0"/>
                <w:color w:val="auto"/>
                <w:spacing w:val="0"/>
                <w:sz w:val="21"/>
                <w:szCs w:val="21"/>
                <w:highlight w:val="none"/>
                <w:shd w:val="clear" w:color="auto" w:fill="FFFFFF"/>
                <w:vertAlign w:val="baseline"/>
                <w:lang w:val="zh-TW" w:eastAsia="zh-TW"/>
              </w:rPr>
            </w:pPr>
            <w:r>
              <w:rPr>
                <w:rFonts w:hint="eastAsia" w:ascii="宋体" w:hAnsi="宋体" w:eastAsia="宋体" w:cs="宋体"/>
                <w:i w:val="0"/>
                <w:iCs w:val="0"/>
                <w:caps w:val="0"/>
                <w:color w:val="auto"/>
                <w:spacing w:val="0"/>
                <w:sz w:val="21"/>
                <w:szCs w:val="21"/>
                <w:highlight w:val="none"/>
                <w:shd w:val="clear" w:color="auto" w:fill="FFFFFF"/>
                <w:vertAlign w:val="baseline"/>
                <w:lang w:val="zh-TW" w:eastAsia="zh-TW"/>
              </w:rPr>
              <w:t>3.资金来源：由食堂经营服务商自负盈亏。</w:t>
            </w:r>
          </w:p>
          <w:p w14:paraId="7E430596">
            <w:pPr>
              <w:spacing w:line="240" w:lineRule="auto"/>
              <w:jc w:val="both"/>
              <w:rPr>
                <w:rFonts w:hint="eastAsia" w:ascii="宋体" w:hAnsi="宋体" w:eastAsia="宋体" w:cs="宋体"/>
                <w:i w:val="0"/>
                <w:iCs w:val="0"/>
                <w:caps w:val="0"/>
                <w:color w:val="auto"/>
                <w:spacing w:val="0"/>
                <w:sz w:val="21"/>
                <w:szCs w:val="21"/>
                <w:highlight w:val="none"/>
                <w:shd w:val="clear" w:color="auto" w:fill="FFFFFF"/>
                <w:vertAlign w:val="baseline"/>
                <w:lang w:val="zh-TW" w:eastAsia="zh-TW"/>
              </w:rPr>
            </w:pPr>
            <w:r>
              <w:rPr>
                <w:rFonts w:hint="eastAsia" w:ascii="宋体" w:hAnsi="宋体" w:eastAsia="宋体" w:cs="宋体"/>
                <w:i w:val="0"/>
                <w:iCs w:val="0"/>
                <w:caps w:val="0"/>
                <w:color w:val="auto"/>
                <w:spacing w:val="0"/>
                <w:sz w:val="21"/>
                <w:szCs w:val="21"/>
                <w:highlight w:val="none"/>
                <w:shd w:val="clear" w:color="auto" w:fill="FFFFFF"/>
                <w:vertAlign w:val="baseline"/>
                <w:lang w:val="zh-TW" w:eastAsia="zh-TW"/>
              </w:rPr>
              <w:t>4.本项目业主方不支付任何费用。</w:t>
            </w:r>
          </w:p>
          <w:p w14:paraId="32C951AD">
            <w:pPr>
              <w:spacing w:line="240" w:lineRule="auto"/>
              <w:jc w:val="both"/>
              <w:rPr>
                <w:rFonts w:hint="eastAsia" w:ascii="宋体" w:hAnsi="宋体" w:eastAsia="宋体" w:cs="宋体"/>
                <w:i w:val="0"/>
                <w:iCs w:val="0"/>
                <w:caps w:val="0"/>
                <w:color w:val="auto"/>
                <w:spacing w:val="0"/>
                <w:sz w:val="21"/>
                <w:szCs w:val="21"/>
                <w:highlight w:val="none"/>
                <w:shd w:val="clear" w:color="auto" w:fill="FFFFFF"/>
                <w:vertAlign w:val="baseline"/>
                <w:lang w:val="zh-TW" w:eastAsia="zh-TW"/>
              </w:rPr>
            </w:pPr>
            <w:r>
              <w:rPr>
                <w:rFonts w:hint="eastAsia" w:ascii="宋体" w:hAnsi="宋体" w:eastAsia="宋体" w:cs="宋体"/>
                <w:i w:val="0"/>
                <w:iCs w:val="0"/>
                <w:caps w:val="0"/>
                <w:color w:val="auto"/>
                <w:spacing w:val="0"/>
                <w:sz w:val="21"/>
                <w:szCs w:val="21"/>
                <w:highlight w:val="none"/>
                <w:shd w:val="clear" w:color="auto" w:fill="FFFFFF"/>
                <w:vertAlign w:val="baseline"/>
                <w:lang w:val="zh-TW" w:eastAsia="zh-TW"/>
              </w:rPr>
              <w:t>5.自服务合同生效之日起 三 年。</w:t>
            </w:r>
          </w:p>
          <w:p w14:paraId="21876E6F">
            <w:pPr>
              <w:spacing w:line="240" w:lineRule="auto"/>
              <w:jc w:val="both"/>
              <w:rPr>
                <w:rFonts w:hint="eastAsia" w:ascii="宋体" w:hAnsi="宋体" w:eastAsia="宋体" w:cs="宋体"/>
                <w:i w:val="0"/>
                <w:iCs w:val="0"/>
                <w:caps w:val="0"/>
                <w:color w:val="auto"/>
                <w:spacing w:val="0"/>
                <w:sz w:val="21"/>
                <w:szCs w:val="21"/>
                <w:highlight w:val="none"/>
                <w:shd w:val="clear" w:color="auto" w:fill="FFFFFF"/>
                <w:vertAlign w:val="baseline"/>
                <w:lang w:val="zh-TW" w:eastAsia="zh-TW"/>
              </w:rPr>
            </w:pPr>
            <w:r>
              <w:rPr>
                <w:rFonts w:hint="eastAsia" w:ascii="宋体" w:hAnsi="宋体" w:eastAsia="宋体" w:cs="宋体"/>
                <w:i w:val="0"/>
                <w:iCs w:val="0"/>
                <w:caps w:val="0"/>
                <w:color w:val="auto"/>
                <w:spacing w:val="0"/>
                <w:sz w:val="21"/>
                <w:szCs w:val="21"/>
                <w:highlight w:val="none"/>
                <w:shd w:val="clear" w:color="auto" w:fill="FFFFFF"/>
                <w:vertAlign w:val="baseline"/>
                <w:lang w:val="zh-TW" w:eastAsia="zh-TW"/>
              </w:rPr>
              <w:t>6.本项目不得转包。</w:t>
            </w:r>
          </w:p>
          <w:p w14:paraId="64BBAD6B">
            <w:pPr>
              <w:spacing w:line="240" w:lineRule="auto"/>
              <w:jc w:val="both"/>
              <w:rPr>
                <w:rFonts w:hint="eastAsia" w:ascii="宋体" w:hAnsi="宋体" w:eastAsia="宋体" w:cs="宋体"/>
                <w:i w:val="0"/>
                <w:iCs w:val="0"/>
                <w:caps w:val="0"/>
                <w:color w:val="auto"/>
                <w:spacing w:val="0"/>
                <w:sz w:val="21"/>
                <w:szCs w:val="21"/>
                <w:highlight w:val="none"/>
                <w:shd w:val="clear" w:color="auto" w:fill="FFFFFF"/>
                <w:vertAlign w:val="baseline"/>
                <w:lang w:val="zh-TW" w:eastAsia="zh-TW"/>
              </w:rPr>
            </w:pPr>
            <w:r>
              <w:rPr>
                <w:rFonts w:hint="eastAsia" w:ascii="宋体" w:hAnsi="宋体" w:eastAsia="宋体" w:cs="宋体"/>
                <w:i w:val="0"/>
                <w:iCs w:val="0"/>
                <w:caps w:val="0"/>
                <w:color w:val="auto"/>
                <w:spacing w:val="0"/>
                <w:sz w:val="21"/>
                <w:szCs w:val="21"/>
                <w:highlight w:val="none"/>
                <w:shd w:val="clear" w:color="auto" w:fill="FFFFFF"/>
                <w:vertAlign w:val="baseline"/>
                <w:lang w:val="zh-TW" w:eastAsia="zh-TW"/>
              </w:rPr>
              <w:t>7.本项目接受联合体响应。</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44DC3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38258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DF12E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4EC37E4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94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3F0767">
            <w:pPr>
              <w:pStyle w:val="18"/>
              <w:keepNext w:val="0"/>
              <w:keepLines w:val="0"/>
              <w:pageBreakBefore w:val="0"/>
              <w:widowControl/>
              <w:suppressLineNumbers w:val="0"/>
              <w:kinsoku/>
              <w:wordWrap/>
              <w:overflowPunct/>
              <w:topLinePunct w:val="0"/>
              <w:autoSpaceDN/>
              <w:bidi w:val="0"/>
              <w:adjustRightInd/>
              <w:spacing w:before="0" w:beforeAutospacing="0" w:after="0" w:afterAutospacing="0" w:line="300" w:lineRule="auto"/>
              <w:ind w:left="0" w:right="0"/>
              <w:jc w:val="left"/>
              <w:textAlignment w:val="baseline"/>
              <w:rPr>
                <w:rStyle w:val="33"/>
                <w:rFonts w:hint="eastAsia" w:ascii="宋体" w:hAnsi="宋体" w:eastAsia="宋体" w:cs="宋体"/>
                <w:b w:val="0"/>
                <w:bCs w:val="0"/>
                <w:color w:val="auto"/>
                <w:kern w:val="2"/>
                <w:sz w:val="21"/>
                <w:szCs w:val="21"/>
                <w:lang w:val="zh-TW" w:eastAsia="zh-TW"/>
              </w:rPr>
            </w:pPr>
            <w:r>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t>二、总则</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BD3246">
            <w:pPr>
              <w:pStyle w:val="18"/>
              <w:keepNext w:val="0"/>
              <w:keepLines w:val="0"/>
              <w:pageBreakBefore w:val="0"/>
              <w:widowControl/>
              <w:suppressLineNumbers w:val="0"/>
              <w:kinsoku/>
              <w:wordWrap/>
              <w:overflowPunct/>
              <w:topLinePunct w:val="0"/>
              <w:autoSpaceDN/>
              <w:bidi w:val="0"/>
              <w:adjustRightInd/>
              <w:spacing w:before="0" w:beforeAutospacing="0" w:after="0" w:afterAutospacing="0" w:line="300" w:lineRule="auto"/>
              <w:ind w:left="0" w:right="0"/>
              <w:jc w:val="left"/>
              <w:textAlignment w:val="baseline"/>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pPr>
          </w:p>
        </w:tc>
      </w:tr>
      <w:tr w14:paraId="6C5BBA7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E7728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eastAsia="宋体" w:cs="宋体"/>
                <w:b w:val="0"/>
                <w:bCs w:val="0"/>
                <w:color w:val="auto"/>
                <w:kern w:val="2"/>
                <w:sz w:val="21"/>
                <w:szCs w:val="21"/>
                <w:lang w:val="en-US" w:eastAsia="zh-CN"/>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81488D">
            <w:pPr>
              <w:spacing w:line="240" w:lineRule="auto"/>
              <w:jc w:val="both"/>
              <w:rPr>
                <w:rFonts w:hint="eastAsia" w:ascii="宋体" w:hAnsi="宋体" w:eastAsia="宋体" w:cs="宋体"/>
                <w:sz w:val="24"/>
                <w:lang w:val="en-US" w:eastAsia="zh-CN"/>
              </w:rPr>
            </w:pPr>
            <w:r>
              <w:rPr>
                <w:rFonts w:hint="eastAsia" w:ascii="宋体" w:hAnsi="宋体"/>
                <w:color w:val="auto"/>
                <w:szCs w:val="21"/>
                <w:highlight w:val="none"/>
              </w:rPr>
              <w:t>项目内容：</w:t>
            </w:r>
            <w:r>
              <w:rPr>
                <w:rFonts w:hint="eastAsia" w:ascii="宋体" w:hAnsi="宋体"/>
                <w:bCs/>
                <w:color w:val="auto"/>
                <w:highlight w:val="none"/>
              </w:rPr>
              <w:t>中山市小榄人民医院食堂经营</w:t>
            </w:r>
            <w:r>
              <w:rPr>
                <w:rFonts w:hint="eastAsia" w:ascii="宋体" w:hAnsi="宋体"/>
                <w:bCs/>
                <w:color w:val="auto"/>
                <w:highlight w:val="none"/>
                <w:lang w:val="en-US" w:eastAsia="zh-CN"/>
              </w:rPr>
              <w:t>项目</w:t>
            </w:r>
            <w:r>
              <w:rPr>
                <w:rFonts w:hint="eastAsia" w:ascii="宋体" w:hAnsi="宋体"/>
                <w:bCs/>
                <w:color w:val="auto"/>
                <w:highlight w:val="none"/>
              </w:rPr>
              <w:t>，</w:t>
            </w:r>
            <w:r>
              <w:rPr>
                <w:rFonts w:hint="eastAsia" w:ascii="宋体" w:hAnsi="宋体"/>
                <w:color w:val="auto"/>
                <w:szCs w:val="21"/>
                <w:highlight w:val="none"/>
                <w:lang w:val="en-US" w:eastAsia="zh-CN"/>
              </w:rPr>
              <w:t>服务商</w:t>
            </w:r>
            <w:r>
              <w:rPr>
                <w:rFonts w:hint="eastAsia" w:ascii="宋体" w:hAnsi="宋体"/>
                <w:color w:val="auto"/>
                <w:szCs w:val="21"/>
                <w:highlight w:val="none"/>
              </w:rPr>
              <w:t>必须按国家、行业的标准及</w:t>
            </w:r>
            <w:r>
              <w:rPr>
                <w:rFonts w:hint="eastAsia" w:ascii="宋体" w:hAnsi="宋体"/>
                <w:color w:val="auto"/>
                <w:szCs w:val="21"/>
                <w:highlight w:val="none"/>
                <w:lang w:eastAsia="zh-CN"/>
              </w:rPr>
              <w:t>遴选文件</w:t>
            </w:r>
            <w:r>
              <w:rPr>
                <w:rFonts w:hint="eastAsia" w:ascii="宋体" w:hAnsi="宋体"/>
                <w:color w:val="auto"/>
                <w:szCs w:val="21"/>
                <w:highlight w:val="none"/>
              </w:rPr>
              <w:t>的要求对项目提供相关服务。</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C6E71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CFD37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545DE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0EF12D3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DDFE6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eastAsia="宋体" w:cs="宋体"/>
                <w:b w:val="0"/>
                <w:bCs w:val="0"/>
                <w:color w:val="auto"/>
                <w:kern w:val="2"/>
                <w:sz w:val="21"/>
                <w:szCs w:val="21"/>
                <w:lang w:val="en-US" w:eastAsia="zh-CN"/>
              </w:rPr>
              <w:t>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926557">
            <w:pPr>
              <w:spacing w:line="240" w:lineRule="auto"/>
              <w:jc w:val="both"/>
              <w:rPr>
                <w:rFonts w:hint="eastAsia" w:ascii="宋体" w:hAnsi="宋体" w:eastAsia="宋体" w:cs="宋体"/>
                <w:sz w:val="24"/>
                <w:lang w:val="en-US" w:eastAsia="zh-CN"/>
              </w:rPr>
            </w:pPr>
            <w:r>
              <w:rPr>
                <w:rFonts w:hint="eastAsia" w:ascii="宋体" w:hAnsi="宋体"/>
                <w:color w:val="auto"/>
                <w:szCs w:val="21"/>
                <w:highlight w:val="none"/>
              </w:rPr>
              <w:t>服务年限：自合同签订日起叁年。</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47320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D513D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E74DB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2F3927D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A3788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F2A573">
            <w:pPr>
              <w:spacing w:line="240" w:lineRule="auto"/>
              <w:jc w:val="both"/>
              <w:rPr>
                <w:rFonts w:hint="eastAsia" w:ascii="宋体" w:hAnsi="宋体"/>
                <w:color w:val="auto"/>
                <w:szCs w:val="21"/>
                <w:highlight w:val="none"/>
              </w:rPr>
            </w:pPr>
            <w:r>
              <w:rPr>
                <w:rFonts w:hint="eastAsia" w:ascii="宋体" w:hAnsi="宋体"/>
                <w:color w:val="auto"/>
                <w:szCs w:val="21"/>
                <w:highlight w:val="none"/>
              </w:rPr>
              <w:t>《</w:t>
            </w:r>
            <w:r>
              <w:rPr>
                <w:rFonts w:hint="eastAsia" w:ascii="宋体" w:hAnsi="宋体"/>
                <w:color w:val="auto"/>
                <w:highlight w:val="none"/>
              </w:rPr>
              <w:t>用户需求书</w:t>
            </w:r>
            <w:r>
              <w:rPr>
                <w:rFonts w:hint="eastAsia" w:ascii="宋体" w:hAnsi="宋体"/>
                <w:color w:val="auto"/>
                <w:szCs w:val="21"/>
                <w:highlight w:val="none"/>
              </w:rPr>
              <w:t>》</w:t>
            </w:r>
            <w:r>
              <w:rPr>
                <w:rFonts w:hint="eastAsia" w:ascii="宋体" w:hAnsi="宋体"/>
                <w:color w:val="auto"/>
                <w:highlight w:val="none"/>
              </w:rPr>
              <w:t>中，</w:t>
            </w:r>
            <w:r>
              <w:rPr>
                <w:rFonts w:hint="eastAsia" w:ascii="宋体" w:hAnsi="宋体" w:cs="宋体"/>
                <w:bCs/>
                <w:color w:val="auto"/>
                <w:szCs w:val="21"/>
                <w:highlight w:val="none"/>
              </w:rPr>
              <w:t>凡带“★”的条款为该项目的重要技术服务要求，必须完全满足，如有负偏离的</w:t>
            </w:r>
            <w:r>
              <w:rPr>
                <w:rFonts w:hint="eastAsia" w:ascii="宋体" w:hAnsi="宋体" w:cs="宋体"/>
                <w:bCs/>
                <w:color w:val="auto"/>
                <w:szCs w:val="21"/>
                <w:highlight w:val="none"/>
                <w:lang w:val="en-US" w:eastAsia="zh-CN"/>
              </w:rPr>
              <w:t>遴选</w:t>
            </w:r>
            <w:r>
              <w:rPr>
                <w:rFonts w:hint="eastAsia" w:ascii="宋体" w:hAnsi="宋体" w:cs="宋体"/>
                <w:bCs/>
                <w:color w:val="auto"/>
                <w:szCs w:val="21"/>
                <w:highlight w:val="none"/>
              </w:rPr>
              <w:t>文件将被认定为无效投标；</w:t>
            </w:r>
            <w:r>
              <w:rPr>
                <w:rFonts w:hint="eastAsia" w:ascii="宋体" w:hAnsi="宋体"/>
                <w:color w:val="auto"/>
                <w:highlight w:val="none"/>
              </w:rPr>
              <w:t>凡</w:t>
            </w:r>
            <w:r>
              <w:rPr>
                <w:rFonts w:hint="eastAsia" w:ascii="宋体" w:hAnsi="宋体" w:cs="宋体"/>
                <w:bCs/>
                <w:color w:val="auto"/>
                <w:szCs w:val="21"/>
                <w:highlight w:val="none"/>
              </w:rPr>
              <w:t>带</w:t>
            </w:r>
            <w:r>
              <w:rPr>
                <w:rFonts w:hint="eastAsia" w:ascii="宋体" w:hAnsi="宋体"/>
                <w:bCs/>
                <w:color w:val="auto"/>
                <w:szCs w:val="21"/>
                <w:highlight w:val="none"/>
              </w:rPr>
              <w:t>“</w:t>
            </w:r>
            <w:r>
              <w:rPr>
                <w:rFonts w:ascii="宋体" w:hAnsi="宋体"/>
                <w:bCs/>
                <w:color w:val="auto"/>
                <w:szCs w:val="21"/>
                <w:highlight w:val="none"/>
              </w:rPr>
              <w:t>▲</w:t>
            </w:r>
            <w:r>
              <w:rPr>
                <w:rFonts w:hint="eastAsia" w:ascii="宋体" w:hAnsi="宋体"/>
                <w:bCs/>
                <w:color w:val="auto"/>
                <w:szCs w:val="21"/>
                <w:highlight w:val="none"/>
              </w:rPr>
              <w:t>”标识的内容</w:t>
            </w:r>
            <w:r>
              <w:rPr>
                <w:rFonts w:ascii="宋体" w:hAnsi="宋体"/>
                <w:bCs/>
                <w:color w:val="auto"/>
                <w:szCs w:val="21"/>
                <w:highlight w:val="none"/>
              </w:rPr>
              <w:t>为评标</w:t>
            </w:r>
            <w:r>
              <w:rPr>
                <w:rFonts w:hint="eastAsia" w:ascii="宋体" w:hAnsi="宋体"/>
                <w:bCs/>
                <w:color w:val="auto"/>
                <w:szCs w:val="21"/>
                <w:highlight w:val="none"/>
              </w:rPr>
              <w:t>的</w:t>
            </w:r>
            <w:r>
              <w:rPr>
                <w:rFonts w:hint="eastAsia"/>
                <w:bCs/>
                <w:color w:val="auto"/>
                <w:szCs w:val="21"/>
                <w:highlight w:val="none"/>
              </w:rPr>
              <w:t>重要参数依据</w:t>
            </w:r>
            <w:r>
              <w:rPr>
                <w:rFonts w:ascii="宋体" w:hAnsi="宋体"/>
                <w:bCs/>
                <w:color w:val="auto"/>
                <w:szCs w:val="21"/>
                <w:highlight w:val="none"/>
              </w:rPr>
              <w:t>，</w:t>
            </w:r>
            <w:r>
              <w:rPr>
                <w:rFonts w:hint="eastAsia" w:ascii="宋体" w:hAnsi="宋体"/>
                <w:bCs/>
                <w:color w:val="auto"/>
                <w:szCs w:val="21"/>
                <w:highlight w:val="none"/>
                <w:lang w:eastAsia="zh-CN"/>
              </w:rPr>
              <w:t>响应服务商</w:t>
            </w:r>
            <w:r>
              <w:rPr>
                <w:rFonts w:hint="eastAsia" w:ascii="宋体" w:hAnsi="宋体"/>
                <w:bCs/>
                <w:color w:val="auto"/>
                <w:szCs w:val="21"/>
                <w:highlight w:val="none"/>
              </w:rPr>
              <w:t>应</w:t>
            </w:r>
            <w:r>
              <w:rPr>
                <w:rFonts w:ascii="宋体" w:hAnsi="宋体"/>
                <w:bCs/>
                <w:color w:val="auto"/>
                <w:szCs w:val="21"/>
                <w:highlight w:val="none"/>
              </w:rPr>
              <w:t>对该标识项目按照要求进行真实应答描述</w:t>
            </w:r>
            <w:r>
              <w:rPr>
                <w:rFonts w:hint="eastAsia"/>
                <w:bCs/>
                <w:color w:val="auto"/>
                <w:szCs w:val="21"/>
                <w:highlight w:val="none"/>
              </w:rPr>
              <w:t>，但不作为废标的实质性条款。</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B4B48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F4BFA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385E5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2D12710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B4E52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FF8E35">
            <w:pPr>
              <w:spacing w:line="240" w:lineRule="auto"/>
              <w:jc w:val="both"/>
              <w:rPr>
                <w:rFonts w:hint="eastAsia" w:ascii="宋体" w:hAnsi="宋体"/>
                <w:color w:val="auto"/>
                <w:szCs w:val="21"/>
                <w:highlight w:val="none"/>
              </w:rPr>
            </w:pPr>
            <w:r>
              <w:rPr>
                <w:rFonts w:hint="eastAsia" w:ascii="宋体" w:hAnsi="宋体"/>
                <w:color w:val="auto"/>
                <w:highlight w:val="none"/>
              </w:rPr>
              <w:t>项目</w:t>
            </w:r>
            <w:r>
              <w:rPr>
                <w:rFonts w:hint="eastAsia" w:ascii="宋体" w:hAnsi="宋体" w:cs="宋体"/>
                <w:color w:val="auto"/>
                <w:szCs w:val="21"/>
                <w:highlight w:val="none"/>
              </w:rPr>
              <w:t>采用全包干的方式承包，由</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负责</w:t>
            </w:r>
            <w:r>
              <w:rPr>
                <w:rFonts w:hint="eastAsia" w:ascii="宋体" w:hAnsi="宋体" w:cs="宋体"/>
                <w:color w:val="auto"/>
                <w:szCs w:val="21"/>
                <w:highlight w:val="none"/>
                <w:lang w:eastAsia="zh-CN"/>
              </w:rPr>
              <w:t>遴选文件</w:t>
            </w:r>
            <w:r>
              <w:rPr>
                <w:rFonts w:hint="eastAsia" w:ascii="宋体" w:hAnsi="宋体" w:cs="宋体"/>
                <w:color w:val="auto"/>
                <w:szCs w:val="21"/>
                <w:highlight w:val="none"/>
              </w:rPr>
              <w:t>对</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要求的一切事宜责任，自负盈亏，</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不支付任何费用</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补贴给</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及其工作人员所产生的一切费用及责任由</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负责，与</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无关。</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3D8FC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EDC4C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FB14A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1A91162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D1F5A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A6239E">
            <w:pPr>
              <w:spacing w:line="240" w:lineRule="auto"/>
              <w:jc w:val="both"/>
              <w:rPr>
                <w:rFonts w:hint="eastAsia" w:ascii="宋体" w:hAnsi="宋体"/>
                <w:color w:val="auto"/>
                <w:szCs w:val="21"/>
                <w:highlight w:val="none"/>
              </w:rPr>
            </w:pPr>
            <w:r>
              <w:rPr>
                <w:rFonts w:hint="eastAsia" w:ascii="宋体" w:hAnsi="宋体" w:cs="宋体"/>
                <w:color w:val="auto"/>
                <w:szCs w:val="21"/>
                <w:highlight w:val="none"/>
                <w:lang w:eastAsia="zh-CN"/>
              </w:rPr>
              <w:t>响应服务商</w:t>
            </w:r>
            <w:r>
              <w:rPr>
                <w:rFonts w:hint="eastAsia" w:ascii="宋体" w:hAnsi="宋体" w:cs="宋体"/>
                <w:color w:val="auto"/>
                <w:szCs w:val="21"/>
                <w:highlight w:val="none"/>
              </w:rPr>
              <w:t>在响应</w:t>
            </w:r>
            <w:r>
              <w:rPr>
                <w:rFonts w:hint="eastAsia" w:ascii="宋体" w:hAnsi="宋体" w:cs="宋体"/>
                <w:color w:val="auto"/>
                <w:szCs w:val="21"/>
                <w:highlight w:val="none"/>
                <w:lang w:val="en-US" w:eastAsia="zh-CN"/>
              </w:rPr>
              <w:t>遴选</w:t>
            </w:r>
            <w:r>
              <w:rPr>
                <w:rFonts w:hint="eastAsia" w:ascii="宋体" w:hAnsi="宋体" w:cs="宋体"/>
                <w:color w:val="auto"/>
                <w:szCs w:val="21"/>
                <w:highlight w:val="none"/>
              </w:rPr>
              <w:t>方案中对这部分内容应尽量列出具体参数或作出详细应答。如果</w:t>
            </w:r>
            <w:r>
              <w:rPr>
                <w:rFonts w:hint="eastAsia" w:ascii="宋体" w:hAnsi="宋体" w:cs="宋体"/>
                <w:color w:val="auto"/>
                <w:szCs w:val="21"/>
                <w:highlight w:val="none"/>
                <w:lang w:eastAsia="zh-CN"/>
              </w:rPr>
              <w:t>响应服务商</w:t>
            </w:r>
            <w:r>
              <w:rPr>
                <w:rFonts w:hint="eastAsia" w:ascii="宋体" w:hAnsi="宋体" w:cs="宋体"/>
                <w:color w:val="auto"/>
                <w:szCs w:val="21"/>
                <w:highlight w:val="none"/>
              </w:rPr>
              <w:t>只简单注明“符合”或“满足”，将影响其技术商务得分。</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370E9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4D2A5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9062F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29514F6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49C37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6</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1CC5EA">
            <w:pPr>
              <w:spacing w:line="240" w:lineRule="auto"/>
              <w:jc w:val="both"/>
              <w:rPr>
                <w:rFonts w:hint="eastAsia" w:ascii="宋体" w:hAnsi="宋体"/>
                <w:color w:val="auto"/>
                <w:szCs w:val="21"/>
                <w:highlight w:val="none"/>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不得以任何方式转包或分包，否则</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有权扣除履约保证金并自动终止合同。</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365B2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647AD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6D03F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68604C2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03443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7</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FB24BB">
            <w:pPr>
              <w:spacing w:line="240" w:lineRule="auto"/>
              <w:jc w:val="both"/>
              <w:rPr>
                <w:rFonts w:hint="eastAsia" w:ascii="宋体" w:hAnsi="宋体"/>
                <w:color w:val="auto"/>
                <w:szCs w:val="21"/>
                <w:highlight w:val="none"/>
              </w:rPr>
            </w:pPr>
            <w:r>
              <w:rPr>
                <w:rFonts w:hint="eastAsia" w:ascii="宋体" w:hAnsi="宋体"/>
                <w:color w:val="auto"/>
                <w:highlight w:val="none"/>
              </w:rPr>
              <w:t>本项目不接受联合体投标</w:t>
            </w:r>
            <w:r>
              <w:rPr>
                <w:rFonts w:ascii="宋体" w:hAnsi="宋体"/>
                <w:color w:val="auto"/>
                <w:highlight w:val="none"/>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6454C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8B8C4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C7EE8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4ECC06A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68CA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8</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9D0339">
            <w:pPr>
              <w:spacing w:line="240" w:lineRule="auto"/>
              <w:jc w:val="both"/>
              <w:rPr>
                <w:rFonts w:hint="eastAsia" w:ascii="宋体" w:hAnsi="宋体"/>
                <w:color w:val="auto"/>
                <w:szCs w:val="21"/>
                <w:highlight w:val="none"/>
              </w:rPr>
            </w:pPr>
            <w:r>
              <w:rPr>
                <w:color w:val="auto"/>
                <w:highlight w:val="none"/>
              </w:rPr>
              <w:t>本项目不设统一现场踏勘时间，</w:t>
            </w:r>
            <w:r>
              <w:rPr>
                <w:rFonts w:hint="eastAsia"/>
                <w:color w:val="auto"/>
                <w:highlight w:val="none"/>
                <w:lang w:eastAsia="zh-CN"/>
              </w:rPr>
              <w:t>响应服务商</w:t>
            </w:r>
            <w:r>
              <w:rPr>
                <w:rFonts w:hint="eastAsia"/>
                <w:color w:val="auto"/>
                <w:highlight w:val="none"/>
              </w:rPr>
              <w:t>如需进行现场踏勘，可直接与</w:t>
            </w:r>
            <w:r>
              <w:rPr>
                <w:rFonts w:hint="eastAsia"/>
                <w:color w:val="auto"/>
                <w:highlight w:val="none"/>
                <w:lang w:eastAsia="zh-CN"/>
              </w:rPr>
              <w:t>业主方</w:t>
            </w:r>
            <w:r>
              <w:rPr>
                <w:rFonts w:hint="eastAsia"/>
                <w:color w:val="auto"/>
                <w:highlight w:val="none"/>
              </w:rPr>
              <w:t>联系。</w:t>
            </w:r>
            <w:r>
              <w:rPr>
                <w:rFonts w:hint="eastAsia"/>
                <w:color w:val="auto"/>
                <w:highlight w:val="none"/>
                <w:lang w:eastAsia="zh-CN"/>
              </w:rPr>
              <w:t>响应服务商</w:t>
            </w:r>
            <w:r>
              <w:rPr>
                <w:rFonts w:hint="eastAsia"/>
                <w:color w:val="auto"/>
                <w:highlight w:val="none"/>
              </w:rPr>
              <w:t>因对项目不了解而导致方案不合理或不完整的，</w:t>
            </w:r>
            <w:r>
              <w:rPr>
                <w:rFonts w:hint="eastAsia"/>
                <w:color w:val="auto"/>
                <w:highlight w:val="none"/>
                <w:lang w:eastAsia="zh-CN"/>
              </w:rPr>
              <w:t>业主方</w:t>
            </w:r>
            <w:r>
              <w:rPr>
                <w:rFonts w:hint="eastAsia"/>
                <w:color w:val="auto"/>
                <w:highlight w:val="none"/>
              </w:rPr>
              <w:t>将不负任何责任。</w:t>
            </w:r>
            <w:r>
              <w:rPr>
                <w:rFonts w:hint="eastAsia"/>
                <w:color w:val="auto"/>
                <w:highlight w:val="none"/>
                <w:lang w:eastAsia="zh-CN"/>
              </w:rPr>
              <w:t>业主方</w:t>
            </w:r>
            <w:r>
              <w:rPr>
                <w:rFonts w:hint="eastAsia"/>
                <w:color w:val="auto"/>
                <w:highlight w:val="none"/>
              </w:rPr>
              <w:t>不接受因</w:t>
            </w:r>
            <w:r>
              <w:rPr>
                <w:rFonts w:hint="eastAsia"/>
                <w:color w:val="auto"/>
                <w:highlight w:val="none"/>
                <w:lang w:eastAsia="zh-CN"/>
              </w:rPr>
              <w:t>响应服务商</w:t>
            </w:r>
            <w:r>
              <w:rPr>
                <w:rFonts w:hint="eastAsia"/>
                <w:color w:val="auto"/>
                <w:highlight w:val="none"/>
              </w:rPr>
              <w:t>缺乏对项目情况的了解或掌握而提出的任何异议或索赔。</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92A52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52742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5C72A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153131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A503E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9.1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2CD024">
            <w:pPr>
              <w:spacing w:line="240" w:lineRule="auto"/>
              <w:jc w:val="both"/>
              <w:rPr>
                <w:rFonts w:hint="eastAsia" w:ascii="宋体" w:hAnsi="宋体"/>
                <w:color w:val="auto"/>
                <w:szCs w:val="21"/>
                <w:highlight w:val="none"/>
              </w:rPr>
            </w:pPr>
            <w:r>
              <w:rPr>
                <w:rFonts w:hint="eastAsia" w:ascii="宋体" w:hAnsi="宋体" w:eastAsia="宋体" w:cs="宋体"/>
                <w:i w:val="0"/>
                <w:iCs w:val="0"/>
                <w:caps w:val="0"/>
                <w:spacing w:val="0"/>
                <w:kern w:val="0"/>
                <w:sz w:val="21"/>
                <w:szCs w:val="21"/>
                <w:shd w:val="clear" w:color="auto" w:fill="FFFFFF"/>
                <w:lang w:val="en-US" w:eastAsia="zh-CN" w:bidi="ar"/>
              </w:rPr>
              <w:t>具有独立承担民事责任的能力：提供在中华人民共和国境内注册的法人或其他组织的营业执照或事业单位法人证书或社会团体法人登记证书扫描件及食品药品经营许可证扫描件；如国家另有规定的，则从其规定。</w:t>
            </w:r>
            <w:r>
              <w:rPr>
                <w:rFonts w:hint="eastAsia"/>
                <w:color w:val="auto"/>
                <w:highlight w:val="none"/>
              </w:rPr>
              <w:t>且营业范围包括餐饮管理或饮食管理或食品经营管理。</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02EE8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6D511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C31A3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183C7C2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C41E0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9.2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E89DB7">
            <w:pPr>
              <w:spacing w:line="240" w:lineRule="auto"/>
              <w:jc w:val="both"/>
              <w:rPr>
                <w:rFonts w:hint="eastAsia" w:ascii="宋体" w:hAnsi="宋体"/>
                <w:color w:val="auto"/>
                <w:szCs w:val="21"/>
                <w:highlight w:val="none"/>
              </w:rPr>
            </w:pPr>
            <w:r>
              <w:rPr>
                <w:rFonts w:hint="eastAsia" w:ascii="Times New Roman" w:hAnsi="Times New Roman" w:eastAsia="宋体" w:cs="Times New Roman"/>
                <w:i w:val="0"/>
                <w:iCs w:val="0"/>
                <w:caps w:val="0"/>
                <w:color w:val="auto"/>
                <w:spacing w:val="0"/>
                <w:kern w:val="2"/>
                <w:sz w:val="21"/>
                <w:szCs w:val="21"/>
                <w:highlight w:val="none"/>
                <w:shd w:val="clear"/>
                <w:lang w:val="en-US" w:eastAsia="zh-CN" w:bidi="ar"/>
              </w:rPr>
              <w:t>有依法缴纳税收和社会保障资金的良好记录：报名截止日前6个月内任意1个月依法缴纳税收和社会保障资金的相关材料。如依法免税或不需要缴纳社会保障资金的，提供相应证明材料。</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21C8C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94F80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F5562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1FC9E95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D921F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9.3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65BBE4">
            <w:pPr>
              <w:spacing w:line="240" w:lineRule="auto"/>
              <w:jc w:val="both"/>
              <w:rPr>
                <w:rFonts w:hint="eastAsia" w:ascii="宋体" w:hAnsi="宋体"/>
                <w:color w:val="auto"/>
                <w:szCs w:val="21"/>
                <w:highlight w:val="none"/>
              </w:rPr>
            </w:pPr>
            <w:r>
              <w:rPr>
                <w:rFonts w:hint="eastAsia" w:ascii="宋体" w:hAnsi="宋体" w:eastAsia="宋体" w:cs="宋体"/>
                <w:i w:val="0"/>
                <w:iCs w:val="0"/>
                <w:caps w:val="0"/>
                <w:spacing w:val="0"/>
                <w:kern w:val="0"/>
                <w:sz w:val="21"/>
                <w:szCs w:val="21"/>
                <w:shd w:val="clear" w:color="auto" w:fill="FFFFFF"/>
                <w:lang w:val="en-US" w:eastAsia="zh-CN" w:bidi="ar"/>
              </w:rPr>
              <w:t>具有良好的商业信誉和健全的财务会计制度：提供2024年度财务状况报告扫描件或报名截止日前6个月内任意1个月的财务报表扫描件或基本开户行出具的资信证明扫描件。</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FE695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862B7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00C07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C7901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48BA0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9.4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072B59">
            <w:pPr>
              <w:spacing w:line="240" w:lineRule="auto"/>
              <w:jc w:val="both"/>
              <w:rPr>
                <w:rFonts w:hint="eastAsia" w:ascii="宋体" w:hAnsi="宋体"/>
                <w:color w:val="auto"/>
                <w:szCs w:val="21"/>
                <w:highlight w:val="none"/>
              </w:rPr>
            </w:pPr>
            <w:r>
              <w:rPr>
                <w:rFonts w:hint="eastAsia" w:ascii="宋体" w:hAnsi="宋体" w:eastAsia="宋体" w:cs="宋体"/>
                <w:i w:val="0"/>
                <w:iCs w:val="0"/>
                <w:caps w:val="0"/>
                <w:spacing w:val="0"/>
                <w:kern w:val="0"/>
                <w:sz w:val="21"/>
                <w:szCs w:val="21"/>
                <w:shd w:val="clear" w:color="auto" w:fill="FFFFFF"/>
                <w:lang w:val="en-US" w:eastAsia="zh-CN" w:bidi="ar"/>
              </w:rPr>
              <w:t>履行合同所必需的设备和专业技术能力：提供“具有履行合同所必需的设备和专业技术能力”的声明或承诺，或提供“具有设备和专业技术能力（人员）”的相关证明资料，或提供《设备和专业技术能力（人员）情况表》（格式自拟）。</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59E5D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995C0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282B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155545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18D61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9.5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2BFB7A">
            <w:pPr>
              <w:spacing w:line="240" w:lineRule="auto"/>
              <w:jc w:val="both"/>
              <w:rPr>
                <w:rFonts w:hint="eastAsia" w:ascii="宋体" w:hAnsi="宋体"/>
                <w:color w:val="auto"/>
                <w:szCs w:val="21"/>
                <w:highlight w:val="none"/>
              </w:rPr>
            </w:pPr>
            <w:r>
              <w:rPr>
                <w:rFonts w:hint="eastAsia" w:ascii="宋体" w:hAnsi="宋体" w:eastAsia="宋体" w:cs="宋体"/>
                <w:i w:val="0"/>
                <w:iCs w:val="0"/>
                <w:caps w:val="0"/>
                <w:spacing w:val="0"/>
                <w:kern w:val="2"/>
                <w:sz w:val="21"/>
                <w:szCs w:val="21"/>
                <w:shd w:val="clear"/>
                <w:lang w:val="en-US" w:eastAsia="zh-CN" w:bidi="ar"/>
              </w:rPr>
              <w:t>参加本次遴选活动前三年内，在经营活动中没有重大违法记录，提供承诺函。重大违法记录，是指供应商因违法经营受到刑事处罚或者责令停产停业、吊销许可证或者执照、较大数额罚款等行政处罚。若投标人同时提供承诺函和证明材料的，资格审查时以证明材料为准。（根据财库〔2022〕3号文，“较大数额罚款”认定为200万元以上的罚款，法律、行政法规以及国务院有关部门明确规定相关领域“较大数额罚款”标准高于200万元的，从其规定）。</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039E3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4B31C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67780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44133AB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9BA88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9.6</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981695">
            <w:pPr>
              <w:spacing w:line="240" w:lineRule="auto"/>
              <w:jc w:val="both"/>
              <w:rPr>
                <w:rFonts w:hint="eastAsia" w:ascii="宋体" w:hAnsi="宋体"/>
                <w:color w:val="auto"/>
                <w:szCs w:val="21"/>
                <w:highlight w:val="none"/>
              </w:rPr>
            </w:pPr>
            <w:r>
              <w:rPr>
                <w:rFonts w:hint="eastAsia" w:ascii="宋体" w:hAnsi="宋体" w:eastAsia="宋体" w:cs="宋体"/>
                <w:i w:val="0"/>
                <w:iCs w:val="0"/>
                <w:caps w:val="0"/>
                <w:spacing w:val="0"/>
                <w:kern w:val="2"/>
                <w:sz w:val="21"/>
                <w:szCs w:val="21"/>
                <w:shd w:val="clear"/>
                <w:lang w:val="en-US" w:eastAsia="zh-CN" w:bidi="ar"/>
              </w:rPr>
              <w:t>参选公司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FE92A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44B59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013C2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60C7A83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F8741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9.7</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D96F05">
            <w:pPr>
              <w:spacing w:line="240" w:lineRule="auto"/>
              <w:jc w:val="both"/>
              <w:rPr>
                <w:rFonts w:hint="eastAsia" w:ascii="宋体" w:hAnsi="宋体"/>
                <w:color w:val="auto"/>
                <w:szCs w:val="21"/>
                <w:highlight w:val="none"/>
              </w:rPr>
            </w:pPr>
            <w:r>
              <w:rPr>
                <w:rFonts w:hint="eastAsia" w:ascii="宋体" w:hAnsi="宋体" w:eastAsia="宋体" w:cs="宋体"/>
                <w:i w:val="0"/>
                <w:iCs w:val="0"/>
                <w:caps w:val="0"/>
                <w:spacing w:val="0"/>
                <w:kern w:val="2"/>
                <w:sz w:val="21"/>
                <w:szCs w:val="21"/>
                <w:shd w:val="clear"/>
                <w:lang w:val="en-US" w:eastAsia="zh-CN" w:bidi="ar"/>
              </w:rPr>
              <w:t>单位负责人为同一人或者存在直接控股、管理关系的不同参选公司，不得同时参加本项目。参选公司提供承诺函。</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2848B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D98B2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B0CD2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D04EA2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1092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A82306">
            <w:pPr>
              <w:keepNext w:val="0"/>
              <w:keepLines w:val="0"/>
              <w:pageBreakBefore w:val="0"/>
              <w:widowControl w:val="0"/>
              <w:shd w:val="clear"/>
              <w:kinsoku/>
              <w:wordWrap/>
              <w:overflowPunct/>
              <w:topLinePunct w:val="0"/>
              <w:autoSpaceDE/>
              <w:autoSpaceDN/>
              <w:bidi w:val="0"/>
              <w:adjustRightInd/>
              <w:snapToGrid/>
              <w:spacing w:line="300" w:lineRule="auto"/>
              <w:jc w:val="left"/>
              <w:textAlignment w:val="auto"/>
              <w:rPr>
                <w:rStyle w:val="33"/>
                <w:rFonts w:hint="eastAsia" w:ascii="宋体" w:hAnsi="宋体" w:eastAsia="宋体" w:cs="宋体"/>
                <w:b w:val="0"/>
                <w:bCs w:val="0"/>
                <w:color w:val="auto"/>
                <w:kern w:val="2"/>
                <w:sz w:val="21"/>
                <w:szCs w:val="21"/>
                <w:lang w:val="zh-TW" w:eastAsia="zh-TW"/>
              </w:rPr>
            </w:pPr>
            <w:r>
              <w:rPr>
                <w:rFonts w:hint="eastAsia"/>
                <w:b/>
                <w:color w:val="auto"/>
                <w:szCs w:val="21"/>
                <w:highlight w:val="none"/>
                <w:lang w:val="en-US" w:eastAsia="zh-CN"/>
              </w:rPr>
              <w:t>三、</w:t>
            </w:r>
            <w:r>
              <w:rPr>
                <w:rFonts w:hint="eastAsia"/>
                <w:b/>
                <w:color w:val="auto"/>
                <w:szCs w:val="21"/>
                <w:highlight w:val="none"/>
              </w:rPr>
              <w:t>项目基本要求</w:t>
            </w:r>
          </w:p>
        </w:tc>
      </w:tr>
      <w:tr w14:paraId="6E6F024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E138A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FB1246">
            <w:pPr>
              <w:spacing w:line="240" w:lineRule="auto"/>
              <w:jc w:val="both"/>
              <w:rPr>
                <w:rFonts w:hint="eastAsia" w:ascii="宋体" w:hAnsi="宋体" w:cs="宋体"/>
                <w:b/>
                <w:color w:val="auto"/>
                <w:szCs w:val="21"/>
                <w:highlight w:val="none"/>
              </w:rPr>
            </w:pPr>
            <w:r>
              <w:rPr>
                <w:rFonts w:hint="eastAsia" w:ascii="宋体" w:hAnsi="宋体" w:cs="宋体"/>
                <w:b/>
                <w:color w:val="auto"/>
                <w:szCs w:val="21"/>
                <w:highlight w:val="none"/>
              </w:rPr>
              <w:t>场地范围：</w:t>
            </w:r>
          </w:p>
          <w:p w14:paraId="72538971">
            <w:pPr>
              <w:spacing w:line="240" w:lineRule="auto"/>
              <w:jc w:val="both"/>
              <w:rPr>
                <w:rFonts w:hint="eastAsia" w:ascii="宋体" w:hAnsi="宋体"/>
                <w:color w:val="auto"/>
                <w:szCs w:val="21"/>
                <w:highlight w:val="none"/>
              </w:rPr>
            </w:pPr>
            <w:r>
              <w:rPr>
                <w:rFonts w:hint="eastAsia" w:ascii="宋体" w:hAnsi="宋体"/>
                <w:color w:val="auto"/>
                <w:szCs w:val="21"/>
                <w:highlight w:val="none"/>
              </w:rPr>
              <w:t>小榄人民医院餐饮楼一楼餐饮操作间及患者、家属就餐区建筑面积约为1290㎡（附图一）、二楼职工就餐区使用面积约为1000㎡及二楼3间小房、1间洗消间，其中营养科办公室及营养配餐间除外（详见“附图二”红色区域）。</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1899D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93548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10489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D012A1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10FEE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w:t>
            </w:r>
            <w:r>
              <w:rPr>
                <w:rStyle w:val="33"/>
                <w:rFonts w:hint="eastAsia" w:ascii="宋体" w:hAnsi="宋体" w:cs="宋体"/>
                <w:b w:val="0"/>
                <w:bCs w:val="0"/>
                <w:color w:val="auto"/>
                <w:kern w:val="2"/>
                <w:sz w:val="21"/>
                <w:szCs w:val="21"/>
                <w:lang w:val="en-US" w:eastAsia="zh-CN"/>
              </w:rPr>
              <w:t>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60DB86">
            <w:pPr>
              <w:spacing w:line="240" w:lineRule="auto"/>
              <w:jc w:val="both"/>
              <w:rPr>
                <w:rFonts w:hint="eastAsia" w:ascii="宋体" w:hAnsi="宋体"/>
                <w:b/>
                <w:bCs/>
                <w:color w:val="auto"/>
                <w:szCs w:val="21"/>
                <w:highlight w:val="none"/>
              </w:rPr>
            </w:pPr>
            <w:r>
              <w:rPr>
                <w:rFonts w:hint="eastAsia" w:ascii="宋体" w:hAnsi="宋体"/>
                <w:b/>
                <w:bCs/>
                <w:color w:val="auto"/>
                <w:szCs w:val="21"/>
                <w:highlight w:val="none"/>
              </w:rPr>
              <w:t>服务期限：</w:t>
            </w:r>
          </w:p>
          <w:p w14:paraId="7B5A789A">
            <w:pPr>
              <w:spacing w:line="240" w:lineRule="auto"/>
              <w:jc w:val="both"/>
              <w:rPr>
                <w:rFonts w:hint="eastAsia" w:ascii="宋体" w:hAnsi="宋体"/>
                <w:color w:val="auto"/>
                <w:szCs w:val="21"/>
                <w:highlight w:val="none"/>
              </w:rPr>
            </w:pPr>
            <w:r>
              <w:rPr>
                <w:rFonts w:hint="eastAsia" w:ascii="宋体" w:hAnsi="宋体"/>
                <w:color w:val="auto"/>
                <w:szCs w:val="21"/>
                <w:highlight w:val="none"/>
              </w:rPr>
              <w:t>即自合同签订日起叁年。服务期限采取1+1+1的方式。即先签订一年合同，如业主方对中选服务商的服务满意且考核合格（考核方案见附件一），在第一年合同期满后，经业主方考核合格后并同意后，则双方续签下一年度合同。如业主方对中选服务商所提供的服务不满意（即连续两个月考核结果低于80分的），业主方有权单方终止合同，不再续签。</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E0165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71F64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A5C08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032D817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63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053CE6">
            <w:pPr>
              <w:spacing w:line="360" w:lineRule="auto"/>
              <w:ind w:firstLine="422" w:firstLineChars="200"/>
              <w:rPr>
                <w:rFonts w:hint="eastAsia" w:ascii="宋体" w:hAnsi="宋体"/>
                <w:color w:val="auto"/>
                <w:szCs w:val="21"/>
                <w:highlight w:val="none"/>
              </w:rPr>
            </w:pPr>
            <w:r>
              <w:rPr>
                <w:rFonts w:hint="eastAsia" w:ascii="宋体" w:hAnsi="宋体" w:cs="宋体"/>
                <w:b/>
                <w:color w:val="auto"/>
                <w:szCs w:val="21"/>
                <w:highlight w:val="none"/>
              </w:rPr>
              <w:t xml:space="preserve">5、 </w:t>
            </w:r>
            <w:r>
              <w:rPr>
                <w:rFonts w:hint="eastAsia" w:ascii="宋体" w:hAnsi="宋体" w:cs="宋体"/>
                <w:b/>
                <w:color w:val="auto"/>
                <w:szCs w:val="21"/>
                <w:highlight w:val="none"/>
                <w:lang w:val="en-US" w:eastAsia="zh-CN"/>
              </w:rPr>
              <w:t>经营</w:t>
            </w:r>
            <w:r>
              <w:rPr>
                <w:rFonts w:hint="eastAsia" w:ascii="宋体" w:hAnsi="宋体" w:cs="宋体"/>
                <w:b/>
                <w:color w:val="auto"/>
                <w:szCs w:val="21"/>
                <w:highlight w:val="none"/>
              </w:rPr>
              <w:t>模式：</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3FDD0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2FD18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84B2F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0F3BBF4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13314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w:t>
            </w:r>
            <w:r>
              <w:rPr>
                <w:rStyle w:val="33"/>
                <w:rFonts w:hint="eastAsia" w:ascii="宋体" w:hAnsi="宋体" w:cs="宋体"/>
                <w:b w:val="0"/>
                <w:bCs w:val="0"/>
                <w:color w:val="auto"/>
                <w:kern w:val="2"/>
                <w:sz w:val="21"/>
                <w:szCs w:val="21"/>
                <w:lang w:val="en-US" w:eastAsia="zh-CN"/>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4ABC4E">
            <w:pPr>
              <w:spacing w:line="240" w:lineRule="auto"/>
              <w:jc w:val="both"/>
              <w:rPr>
                <w:rFonts w:hint="eastAsia" w:ascii="宋体" w:hAnsi="宋体"/>
                <w:color w:val="auto"/>
                <w:szCs w:val="21"/>
                <w:highlight w:val="none"/>
              </w:rPr>
            </w:pPr>
            <w:r>
              <w:rPr>
                <w:rFonts w:hint="eastAsia" w:ascii="宋体" w:hAnsi="宋体" w:cs="宋体"/>
                <w:color w:val="auto"/>
                <w:szCs w:val="21"/>
                <w:highlight w:val="none"/>
              </w:rPr>
              <w:t>由</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向</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提供经营场地，</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应在每月5日前向</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缴交</w:t>
            </w:r>
            <w:r>
              <w:rPr>
                <w:rFonts w:hint="eastAsia" w:ascii="宋体" w:hAnsi="宋体" w:cs="宋体"/>
                <w:color w:val="auto"/>
                <w:szCs w:val="21"/>
                <w:highlight w:val="none"/>
                <w:lang w:val="en-US" w:eastAsia="zh-CN"/>
              </w:rPr>
              <w:t>生活</w:t>
            </w:r>
            <w:r>
              <w:rPr>
                <w:rFonts w:hint="eastAsia" w:ascii="宋体" w:hAnsi="宋体" w:cs="宋体"/>
                <w:bCs/>
                <w:color w:val="auto"/>
                <w:szCs w:val="21"/>
                <w:highlight w:val="none"/>
              </w:rPr>
              <w:t>垃圾处理费</w:t>
            </w:r>
            <w:r>
              <w:rPr>
                <w:rFonts w:hint="eastAsia" w:ascii="宋体" w:hAnsi="宋体" w:cs="宋体"/>
                <w:b/>
                <w:color w:val="auto"/>
                <w:szCs w:val="21"/>
                <w:highlight w:val="none"/>
              </w:rPr>
              <w:t>¥300元/月及上一个月的水、电费</w:t>
            </w:r>
            <w:r>
              <w:rPr>
                <w:rFonts w:hint="eastAsia" w:ascii="宋体" w:hAnsi="宋体"/>
                <w:color w:val="auto"/>
                <w:szCs w:val="21"/>
                <w:highlight w:val="none"/>
                <w:lang w:val="zh-CN"/>
              </w:rPr>
              <w:t>（</w:t>
            </w:r>
            <w:r>
              <w:rPr>
                <w:rFonts w:hint="eastAsia" w:ascii="宋体" w:hAnsi="宋体"/>
                <w:color w:val="auto"/>
                <w:szCs w:val="21"/>
                <w:highlight w:val="none"/>
              </w:rPr>
              <w:t>按实结算</w:t>
            </w:r>
            <w:r>
              <w:rPr>
                <w:rFonts w:hint="eastAsia" w:ascii="宋体" w:hAnsi="宋体"/>
                <w:color w:val="auto"/>
                <w:szCs w:val="21"/>
                <w:highlight w:val="none"/>
                <w:lang w:val="zh-CN"/>
              </w:rPr>
              <w:t>）</w:t>
            </w:r>
            <w:r>
              <w:rPr>
                <w:rFonts w:hint="eastAsia" w:ascii="宋体" w:hAnsi="宋体" w:cs="宋体"/>
                <w:bCs/>
                <w:color w:val="auto"/>
                <w:szCs w:val="21"/>
                <w:highlight w:val="none"/>
              </w:rPr>
              <w:t>等，</w:t>
            </w:r>
            <w:r>
              <w:rPr>
                <w:rFonts w:hint="eastAsia" w:ascii="宋体" w:hAnsi="宋体"/>
                <w:b/>
                <w:color w:val="auto"/>
                <w:szCs w:val="21"/>
                <w:highlight w:val="none"/>
                <w:lang w:val="zh-CN"/>
              </w:rPr>
              <w:t>天然气费</w:t>
            </w:r>
            <w:r>
              <w:rPr>
                <w:rFonts w:hint="eastAsia" w:ascii="宋体" w:hAnsi="宋体"/>
                <w:b/>
                <w:color w:val="auto"/>
                <w:szCs w:val="21"/>
                <w:highlight w:val="none"/>
                <w:lang w:val="en-US" w:eastAsia="zh-CN"/>
              </w:rPr>
              <w:t>由中选服务商自行支付至供气公司，厨余垃圾由中选服务商自行与具有收运资质的第三方公司签订收运合同，</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负责自主经营、自主管理、独立核算。</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A41CD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7454C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9C87A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03F08D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E8D49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Fonts w:ascii="宋体" w:hAnsi="宋体"/>
                <w:bCs/>
                <w:color w:val="auto"/>
                <w:szCs w:val="21"/>
                <w:highlight w:val="none"/>
              </w:rPr>
              <w:t>▲</w:t>
            </w:r>
            <w:r>
              <w:rPr>
                <w:rFonts w:hint="eastAsia" w:ascii="宋体" w:hAnsi="宋体" w:cs="宋体"/>
                <w:color w:val="auto"/>
                <w:szCs w:val="21"/>
                <w:highlight w:val="none"/>
              </w:rPr>
              <w:t>（2）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CFC429">
            <w:pPr>
              <w:spacing w:line="240" w:lineRule="auto"/>
              <w:jc w:val="both"/>
              <w:rPr>
                <w:rFonts w:hint="eastAsia" w:ascii="宋体" w:hAnsi="宋体"/>
                <w:color w:val="auto"/>
                <w:szCs w:val="21"/>
                <w:highlight w:val="none"/>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应每天（全年不间断）为医院员工（含进修生、实习生、后勤服务公司员工</w:t>
            </w:r>
            <w:r>
              <w:rPr>
                <w:rFonts w:hint="eastAsia" w:ascii="宋体" w:hAnsi="宋体" w:cs="宋体"/>
                <w:color w:val="auto"/>
                <w:szCs w:val="21"/>
                <w:highlight w:val="none"/>
                <w:lang w:eastAsia="zh-CN"/>
              </w:rPr>
              <w:t>及其他</w:t>
            </w:r>
            <w:r>
              <w:rPr>
                <w:rFonts w:hint="eastAsia" w:ascii="宋体" w:hAnsi="宋体" w:cs="宋体"/>
                <w:color w:val="auto"/>
                <w:szCs w:val="21"/>
                <w:highlight w:val="none"/>
              </w:rPr>
              <w:t>工作人员的工作人员）、患者及家属提供早餐、中餐、晚餐、宵夜及</w:t>
            </w:r>
            <w:r>
              <w:rPr>
                <w:rFonts w:hint="eastAsia" w:ascii="宋体" w:hAnsi="宋体" w:cs="宋体"/>
                <w:color w:val="auto"/>
                <w:szCs w:val="21"/>
                <w:highlight w:val="none"/>
                <w:lang w:val="en-US" w:eastAsia="zh-CN"/>
              </w:rPr>
              <w:t>以成本价</w:t>
            </w:r>
            <w:r>
              <w:rPr>
                <w:rFonts w:hint="eastAsia" w:ascii="宋体" w:hAnsi="宋体" w:cs="宋体"/>
                <w:color w:val="auto"/>
                <w:szCs w:val="21"/>
                <w:highlight w:val="none"/>
              </w:rPr>
              <w:t>提供医院</w:t>
            </w:r>
            <w:r>
              <w:rPr>
                <w:rFonts w:hint="eastAsia" w:ascii="宋体" w:hAnsi="宋体" w:cs="宋体"/>
                <w:color w:val="auto"/>
                <w:szCs w:val="21"/>
                <w:highlight w:val="none"/>
                <w:lang w:val="en-US" w:eastAsia="zh-CN"/>
              </w:rPr>
              <w:t>体检餐、</w:t>
            </w:r>
            <w:r>
              <w:rPr>
                <w:rFonts w:hint="eastAsia" w:ascii="宋体" w:hAnsi="宋体" w:cs="宋体"/>
                <w:color w:val="auto"/>
                <w:szCs w:val="21"/>
                <w:highlight w:val="none"/>
              </w:rPr>
              <w:t>公务餐、会议餐、职工包餐、会议盒饭、</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需要的各类临时性用餐和应急配餐服务。</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90873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EB054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39B3D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1E4CF4C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24BE2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C04F29">
            <w:pPr>
              <w:spacing w:line="240" w:lineRule="auto"/>
              <w:jc w:val="both"/>
              <w:rPr>
                <w:rFonts w:hint="eastAsia" w:ascii="宋体" w:hAnsi="宋体"/>
                <w:color w:val="auto"/>
                <w:szCs w:val="21"/>
                <w:highlight w:val="none"/>
              </w:rPr>
            </w:pPr>
            <w:r>
              <w:rPr>
                <w:rFonts w:hint="eastAsia" w:ascii="宋体" w:hAnsi="宋体" w:cs="宋体"/>
                <w:color w:val="auto"/>
                <w:szCs w:val="21"/>
                <w:highlight w:val="none"/>
                <w:lang w:val="en-US" w:eastAsia="zh-CN"/>
              </w:rPr>
              <w:t>采用堂食和配送餐服务相结合的模式。中选服务商须有完善的线上订餐系统（含订餐自取），</w:t>
            </w:r>
            <w:r>
              <w:rPr>
                <w:rFonts w:hint="eastAsia" w:ascii="宋体" w:hAnsi="宋体" w:cs="宋体"/>
                <w:b/>
                <w:bCs/>
                <w:color w:val="auto"/>
                <w:szCs w:val="21"/>
                <w:highlight w:val="none"/>
                <w:lang w:val="en-US" w:eastAsia="zh-CN"/>
              </w:rPr>
              <w:t>外卖订餐时间为24小时开放，可自选送达时间，配备足够的送餐服务人员。</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17440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7688E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AB277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633539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9C860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72DD04">
            <w:pPr>
              <w:spacing w:line="240" w:lineRule="auto"/>
              <w:jc w:val="both"/>
              <w:rPr>
                <w:rFonts w:hint="eastAsia" w:ascii="宋体" w:hAnsi="宋体"/>
                <w:color w:val="auto"/>
                <w:szCs w:val="21"/>
                <w:highlight w:val="none"/>
              </w:rPr>
            </w:pPr>
            <w:r>
              <w:rPr>
                <w:rFonts w:hint="eastAsia" w:ascii="宋体" w:hAnsi="宋体" w:cs="宋体"/>
                <w:color w:val="auto"/>
                <w:szCs w:val="21"/>
                <w:highlight w:val="none"/>
                <w:lang w:eastAsia="zh-CN"/>
              </w:rPr>
              <w:t>供餐时间：一楼的供餐时间以满足患者及家属的需求为准，一般供餐时间为6:30至22:30（含宵夜供应）。二楼医院员工就餐区的供餐时间为：早餐6:30-9:00；午餐10:30-13:00；晚餐16:30-19:30；宵夜供应到22:30。中选服务商应根据医院员工的需求提供夜班人员的宵夜订餐及配送服务。</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68DFE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48F0A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EE6F3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9BF0C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6F896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18DA4A">
            <w:pPr>
              <w:spacing w:line="240" w:lineRule="auto"/>
              <w:jc w:val="both"/>
              <w:rPr>
                <w:rFonts w:hint="eastAsia" w:ascii="宋体" w:hAnsi="宋体"/>
                <w:color w:val="auto"/>
                <w:szCs w:val="21"/>
                <w:highlight w:val="none"/>
              </w:rPr>
            </w:pPr>
            <w:r>
              <w:rPr>
                <w:rFonts w:hint="eastAsia" w:ascii="宋体" w:hAnsi="宋体" w:cs="宋体"/>
                <w:color w:val="auto"/>
                <w:szCs w:val="21"/>
                <w:highlight w:val="none"/>
                <w:lang w:val="en-US" w:eastAsia="zh-CN"/>
              </w:rPr>
              <w:t>中选服务商自觉接受业主方及餐饮主管部门的监督管理。</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40CDC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12C8E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D68CE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6B8E73C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63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2A7FE5">
            <w:pPr>
              <w:spacing w:line="360" w:lineRule="auto"/>
              <w:ind w:firstLine="422" w:firstLineChars="200"/>
              <w:rPr>
                <w:rFonts w:hint="eastAsia" w:ascii="宋体" w:hAnsi="宋体"/>
                <w:color w:val="auto"/>
                <w:szCs w:val="21"/>
                <w:highlight w:val="none"/>
              </w:rPr>
            </w:pPr>
            <w:r>
              <w:rPr>
                <w:rFonts w:hint="eastAsia" w:ascii="宋体" w:hAnsi="宋体" w:cs="宋体"/>
                <w:b/>
                <w:color w:val="auto"/>
                <w:szCs w:val="21"/>
                <w:highlight w:val="none"/>
              </w:rPr>
              <w:t>6、</w:t>
            </w:r>
            <w:r>
              <w:rPr>
                <w:rFonts w:hint="eastAsia" w:ascii="宋体" w:hAnsi="宋体" w:cs="宋体"/>
                <w:b/>
                <w:color w:val="auto"/>
                <w:szCs w:val="21"/>
                <w:highlight w:val="none"/>
                <w:lang w:eastAsia="zh-CN"/>
              </w:rPr>
              <w:t>中选服务商</w:t>
            </w:r>
            <w:r>
              <w:rPr>
                <w:rFonts w:hint="eastAsia" w:ascii="宋体" w:hAnsi="宋体" w:cs="宋体"/>
                <w:b/>
                <w:color w:val="auto"/>
                <w:szCs w:val="21"/>
                <w:highlight w:val="none"/>
              </w:rPr>
              <w:t>应承担费用，包括但不限于：</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1403C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20841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A83D7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22039C6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C60C2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3FEB40">
            <w:pPr>
              <w:spacing w:line="240" w:lineRule="auto"/>
              <w:jc w:val="both"/>
              <w:rPr>
                <w:rFonts w:hint="eastAsia" w:ascii="宋体" w:hAnsi="宋体"/>
                <w:color w:val="auto"/>
                <w:szCs w:val="21"/>
                <w:highlight w:val="none"/>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负责按食品安全的要求</w:t>
            </w:r>
            <w:r>
              <w:rPr>
                <w:rFonts w:ascii="宋体" w:hAnsi="宋体" w:cs="宋体"/>
                <w:color w:val="auto"/>
                <w:szCs w:val="21"/>
                <w:highlight w:val="none"/>
              </w:rPr>
              <w:t>购买</w:t>
            </w:r>
            <w:r>
              <w:rPr>
                <w:rFonts w:hint="eastAsia" w:ascii="宋体" w:hAnsi="宋体" w:cs="宋体"/>
                <w:color w:val="auto"/>
                <w:szCs w:val="21"/>
                <w:highlight w:val="none"/>
              </w:rPr>
              <w:t>食物</w:t>
            </w:r>
            <w:r>
              <w:rPr>
                <w:rFonts w:ascii="宋体" w:hAnsi="宋体" w:cs="宋体"/>
                <w:color w:val="auto"/>
                <w:szCs w:val="21"/>
                <w:highlight w:val="none"/>
              </w:rPr>
              <w:t>原材料、加工</w:t>
            </w:r>
            <w:r>
              <w:rPr>
                <w:rFonts w:hint="eastAsia" w:ascii="宋体" w:hAnsi="宋体" w:cs="宋体"/>
                <w:color w:val="auto"/>
                <w:szCs w:val="21"/>
                <w:highlight w:val="none"/>
              </w:rPr>
              <w:t>和</w:t>
            </w:r>
            <w:r>
              <w:rPr>
                <w:rFonts w:ascii="宋体" w:hAnsi="宋体" w:cs="宋体"/>
                <w:color w:val="auto"/>
                <w:szCs w:val="21"/>
                <w:highlight w:val="none"/>
              </w:rPr>
              <w:t>水</w:t>
            </w:r>
            <w:r>
              <w:rPr>
                <w:rFonts w:hint="eastAsia" w:ascii="宋体" w:hAnsi="宋体" w:cs="宋体"/>
                <w:color w:val="auto"/>
                <w:szCs w:val="21"/>
                <w:highlight w:val="none"/>
              </w:rPr>
              <w:t>、</w:t>
            </w:r>
            <w:r>
              <w:rPr>
                <w:rFonts w:ascii="宋体" w:hAnsi="宋体" w:cs="宋体"/>
                <w:color w:val="auto"/>
                <w:szCs w:val="21"/>
                <w:highlight w:val="none"/>
              </w:rPr>
              <w:t>电</w:t>
            </w:r>
            <w:r>
              <w:rPr>
                <w:rFonts w:hint="eastAsia" w:ascii="宋体" w:hAnsi="宋体" w:cs="宋体"/>
                <w:color w:val="auto"/>
                <w:szCs w:val="21"/>
                <w:highlight w:val="none"/>
              </w:rPr>
              <w:t>、气的费用及其</w:t>
            </w:r>
            <w:r>
              <w:rPr>
                <w:rFonts w:ascii="宋体" w:hAnsi="宋体" w:cs="宋体"/>
                <w:color w:val="auto"/>
                <w:szCs w:val="21"/>
                <w:highlight w:val="none"/>
              </w:rPr>
              <w:t>员工</w:t>
            </w:r>
            <w:r>
              <w:rPr>
                <w:rFonts w:hint="eastAsia" w:ascii="宋体" w:hAnsi="宋体" w:cs="宋体"/>
                <w:color w:val="auto"/>
                <w:szCs w:val="21"/>
                <w:highlight w:val="none"/>
              </w:rPr>
              <w:t>的一切</w:t>
            </w:r>
            <w:r>
              <w:rPr>
                <w:rFonts w:ascii="宋体" w:hAnsi="宋体" w:cs="宋体"/>
                <w:color w:val="auto"/>
                <w:szCs w:val="21"/>
                <w:highlight w:val="none"/>
              </w:rPr>
              <w:t>工资</w:t>
            </w:r>
            <w:r>
              <w:rPr>
                <w:rFonts w:hint="eastAsia" w:ascii="宋体" w:hAnsi="宋体" w:cs="宋体"/>
                <w:color w:val="auto"/>
                <w:szCs w:val="21"/>
                <w:highlight w:val="none"/>
              </w:rPr>
              <w:t>、福利、保险、健康体检和所产生事故、责任和纠纷</w:t>
            </w:r>
            <w:r>
              <w:rPr>
                <w:rFonts w:hint="eastAsia" w:ascii="宋体" w:hAnsi="宋体" w:cs="宋体"/>
                <w:color w:val="auto"/>
                <w:szCs w:val="21"/>
                <w:highlight w:val="none"/>
                <w:lang w:val="en-US" w:eastAsia="zh-CN"/>
              </w:rPr>
              <w:t>的处理</w:t>
            </w:r>
            <w:r>
              <w:rPr>
                <w:rFonts w:hint="eastAsia" w:ascii="宋体" w:hAnsi="宋体" w:cs="宋体"/>
                <w:color w:val="auto"/>
                <w:szCs w:val="21"/>
                <w:highlight w:val="none"/>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6E15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43087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75D77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39CE1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2DA7F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9C137D">
            <w:pPr>
              <w:spacing w:line="240" w:lineRule="auto"/>
              <w:jc w:val="both"/>
              <w:rPr>
                <w:rFonts w:hint="eastAsia" w:ascii="宋体" w:hAnsi="宋体"/>
                <w:color w:val="auto"/>
                <w:szCs w:val="21"/>
                <w:highlight w:val="none"/>
              </w:rPr>
            </w:pPr>
            <w:r>
              <w:rPr>
                <w:rFonts w:hint="eastAsia" w:ascii="宋体" w:hAnsi="宋体" w:cs="宋体"/>
                <w:color w:val="auto"/>
                <w:szCs w:val="21"/>
                <w:highlight w:val="none"/>
                <w:lang w:val="en-US" w:eastAsia="zh-CN"/>
              </w:rPr>
              <w:t>中选服务商每年须为医院食堂购买不少于 500 万保额的食品安全责任险和不少于 200 万保额的公众责任险。</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EAF1C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22821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47CBD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2876D63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BA511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2525DE">
            <w:pPr>
              <w:spacing w:line="240" w:lineRule="auto"/>
              <w:jc w:val="both"/>
              <w:rPr>
                <w:rFonts w:hint="eastAsia" w:ascii="宋体" w:hAnsi="宋体"/>
                <w:color w:val="auto"/>
                <w:szCs w:val="21"/>
                <w:highlight w:val="none"/>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负责办理合法经营所需的各类相关证件资料。</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F259A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33850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475DD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0770035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ACB7A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860D22">
            <w:pPr>
              <w:spacing w:line="240" w:lineRule="auto"/>
              <w:jc w:val="both"/>
              <w:rPr>
                <w:rFonts w:hint="eastAsia" w:ascii="宋体" w:hAnsi="宋体"/>
                <w:color w:val="auto"/>
                <w:szCs w:val="21"/>
                <w:highlight w:val="none"/>
              </w:rPr>
            </w:pPr>
            <w:r>
              <w:rPr>
                <w:rFonts w:hint="eastAsia" w:ascii="宋体" w:hAnsi="宋体"/>
                <w:color w:val="auto"/>
                <w:szCs w:val="21"/>
                <w:highlight w:val="none"/>
              </w:rPr>
              <w:t>中选服务商负责对一楼经营场所的重新装修及其基础设备、设施的改造、翻新、维修和保养；一二楼楼梯修复以及消防系统的改造；一二楼日常所需添置的各种设备设施（包括但不限于医院提供的专用电梯、台、椅等），所需费用和物品的更新、增设和日常维修保养等一切费用由中选服务商自行承担，具体要求如下：</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5DDD2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97AB9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B851E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B6ACA4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57FD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①</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EEE3AE">
            <w:pPr>
              <w:keepNext w:val="0"/>
              <w:keepLines w:val="0"/>
              <w:pageBreakBefore w:val="0"/>
              <w:widowControl w:val="0"/>
              <w:shd w:val="clear"/>
              <w:kinsoku/>
              <w:wordWrap/>
              <w:overflowPunct/>
              <w:topLinePunct w:val="0"/>
              <w:autoSpaceDE/>
              <w:autoSpaceDN/>
              <w:bidi w:val="0"/>
              <w:adjustRightInd/>
              <w:snapToGrid/>
              <w:spacing w:line="300" w:lineRule="auto"/>
              <w:jc w:val="left"/>
              <w:textAlignment w:val="auto"/>
              <w:rPr>
                <w:rFonts w:hint="eastAsia" w:ascii="宋体" w:hAnsi="宋体"/>
                <w:color w:val="auto"/>
                <w:szCs w:val="21"/>
                <w:highlight w:val="none"/>
              </w:rPr>
            </w:pPr>
            <w:r>
              <w:rPr>
                <w:rFonts w:hint="eastAsia" w:ascii="宋体" w:hAnsi="宋体"/>
                <w:color w:val="auto"/>
                <w:szCs w:val="21"/>
                <w:highlight w:val="none"/>
              </w:rPr>
              <w:t>中选服务商中标后1个月内必须按业主方要求，在满足食品安全管理和消防安全管理的相关法律法规要求下，开始对饭堂进行重新装修、改造和流程优化，包括但不限于：饭堂布局调整、地面墙身翻新、管道走向调整、消防设备设施增设等，重新装修后的饭堂应符合餐饮服务食品安全监督量化等级为A级以及满足最新的消防法规要求。</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E9DD2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4A827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0A8B8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6040E29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9E586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★②</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AB234F">
            <w:pPr>
              <w:spacing w:line="240" w:lineRule="auto"/>
              <w:jc w:val="both"/>
              <w:rPr>
                <w:rFonts w:hint="eastAsia" w:ascii="宋体" w:hAnsi="宋体"/>
                <w:color w:val="auto"/>
                <w:szCs w:val="21"/>
                <w:highlight w:val="none"/>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在装修前必须提交书面装修申请和图纸（含平面设计图、装修效果图等）、预算明细表</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施工方案</w:t>
            </w:r>
            <w:r>
              <w:rPr>
                <w:rFonts w:hint="eastAsia" w:ascii="宋体" w:hAnsi="宋体" w:cs="宋体"/>
                <w:color w:val="auto"/>
                <w:szCs w:val="21"/>
                <w:highlight w:val="none"/>
              </w:rPr>
              <w:t>等交给</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审批同意后方可进行，装修所产生的一切费用由</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负责。</w:t>
            </w:r>
            <w:r>
              <w:rPr>
                <w:rFonts w:hint="eastAsia" w:ascii="宋体" w:hAnsi="宋体" w:cs="宋体"/>
                <w:color w:val="auto"/>
                <w:szCs w:val="21"/>
                <w:highlight w:val="none"/>
                <w:lang w:val="en-US" w:eastAsia="zh-CN"/>
              </w:rPr>
              <w:t>批准施工之日起，三个月内完成施工，若遇特殊情况需要延期，书面说明延期原因。</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9421D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FAFDD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92842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6DAE955A">
        <w:tblPrEx>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250D8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★③</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BC8D3">
            <w:pPr>
              <w:spacing w:line="240" w:lineRule="auto"/>
              <w:jc w:val="both"/>
              <w:rPr>
                <w:rFonts w:hint="eastAsia" w:ascii="宋体" w:hAnsi="宋体"/>
                <w:color w:val="auto"/>
                <w:szCs w:val="21"/>
                <w:highlight w:val="none"/>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必须选择具备装修</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消防建设</w:t>
            </w:r>
            <w:r>
              <w:rPr>
                <w:rFonts w:hint="eastAsia" w:ascii="宋体" w:hAnsi="宋体" w:cs="宋体"/>
                <w:color w:val="auto"/>
                <w:szCs w:val="21"/>
                <w:highlight w:val="none"/>
              </w:rPr>
              <w:t>资质的公司进行施工，材料、工艺必须符合环保要求及国家相关要求，</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有权对装修公司及施工材料、工艺、环节进行监督</w:t>
            </w:r>
            <w:r>
              <w:rPr>
                <w:rStyle w:val="26"/>
                <w:rFonts w:hint="eastAsia"/>
                <w:color w:val="auto"/>
                <w:highlight w:val="none"/>
              </w:rPr>
              <w:t>管理，一旦发现不符合要求或以次充好的情形，</w:t>
            </w:r>
            <w:r>
              <w:rPr>
                <w:rStyle w:val="26"/>
                <w:rFonts w:hint="eastAsia"/>
                <w:color w:val="auto"/>
                <w:highlight w:val="none"/>
                <w:lang w:eastAsia="zh-CN"/>
              </w:rPr>
              <w:t>业主方</w:t>
            </w:r>
            <w:r>
              <w:rPr>
                <w:rStyle w:val="26"/>
                <w:rFonts w:hint="eastAsia"/>
                <w:color w:val="auto"/>
                <w:highlight w:val="none"/>
              </w:rPr>
              <w:t>有权要求</w:t>
            </w:r>
            <w:r>
              <w:rPr>
                <w:rStyle w:val="26"/>
                <w:rFonts w:hint="eastAsia"/>
                <w:color w:val="auto"/>
                <w:highlight w:val="none"/>
                <w:lang w:eastAsia="zh-CN"/>
              </w:rPr>
              <w:t>中选服务商</w:t>
            </w:r>
            <w:r>
              <w:rPr>
                <w:rStyle w:val="26"/>
                <w:rFonts w:hint="eastAsia"/>
                <w:color w:val="auto"/>
                <w:highlight w:val="none"/>
              </w:rPr>
              <w:t>立即停工整改。因</w:t>
            </w:r>
            <w:r>
              <w:rPr>
                <w:rStyle w:val="26"/>
                <w:rFonts w:hint="eastAsia"/>
                <w:color w:val="auto"/>
                <w:highlight w:val="none"/>
                <w:lang w:eastAsia="zh-CN"/>
              </w:rPr>
              <w:t>中选服务商</w:t>
            </w:r>
            <w:r>
              <w:rPr>
                <w:rStyle w:val="26"/>
                <w:rFonts w:hint="eastAsia"/>
                <w:color w:val="auto"/>
                <w:highlight w:val="none"/>
              </w:rPr>
              <w:t>原因造成一切装修事故或安全隐患，所有责任及损失由</w:t>
            </w:r>
            <w:r>
              <w:rPr>
                <w:rStyle w:val="26"/>
                <w:rFonts w:hint="eastAsia"/>
                <w:color w:val="auto"/>
                <w:highlight w:val="none"/>
                <w:lang w:eastAsia="zh-CN"/>
              </w:rPr>
              <w:t>中选服务商</w:t>
            </w:r>
            <w:r>
              <w:rPr>
                <w:rStyle w:val="26"/>
                <w:rFonts w:hint="eastAsia"/>
                <w:color w:val="auto"/>
                <w:highlight w:val="none"/>
              </w:rPr>
              <w:t>自行承担，对</w:t>
            </w:r>
            <w:r>
              <w:rPr>
                <w:rStyle w:val="26"/>
                <w:rFonts w:hint="eastAsia"/>
                <w:color w:val="auto"/>
                <w:highlight w:val="none"/>
                <w:lang w:eastAsia="zh-CN"/>
              </w:rPr>
              <w:t>业主方</w:t>
            </w:r>
            <w:r>
              <w:rPr>
                <w:rStyle w:val="26"/>
                <w:rFonts w:hint="eastAsia"/>
                <w:color w:val="auto"/>
                <w:highlight w:val="none"/>
              </w:rPr>
              <w:t>造成经济或其他损失的，</w:t>
            </w:r>
            <w:r>
              <w:rPr>
                <w:rStyle w:val="26"/>
                <w:rFonts w:hint="eastAsia"/>
                <w:color w:val="auto"/>
                <w:highlight w:val="none"/>
                <w:lang w:eastAsia="zh-CN"/>
              </w:rPr>
              <w:t>业主方</w:t>
            </w:r>
            <w:r>
              <w:rPr>
                <w:rStyle w:val="26"/>
                <w:rFonts w:hint="eastAsia"/>
                <w:color w:val="auto"/>
                <w:highlight w:val="none"/>
              </w:rPr>
              <w:t>有权进行索赔。</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5C134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A67FB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3E8E8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718C45D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5B1B33">
            <w:pPr>
              <w:spacing w:line="240" w:lineRule="auto"/>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④</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22858C">
            <w:pPr>
              <w:spacing w:line="240" w:lineRule="auto"/>
              <w:jc w:val="both"/>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装修改造不得对原建筑构成损害及造成环境的不协调，合同期满中选服务商可以拆除商标标牌及其他属于中选服务商的可移动的设备设施，但房屋内的固定装卸设施（如隔墙、门窗、天花、地板、</w:t>
            </w:r>
            <w:r>
              <w:rPr>
                <w:rFonts w:hint="eastAsia" w:ascii="宋体" w:hAnsi="宋体" w:eastAsia="宋体" w:cs="宋体"/>
                <w:color w:val="auto"/>
                <w:szCs w:val="21"/>
                <w:highlight w:val="none"/>
                <w:lang w:val="en-US" w:eastAsia="zh-CN"/>
              </w:rPr>
              <w:t>消防设施</w:t>
            </w:r>
            <w:r>
              <w:rPr>
                <w:rFonts w:hint="eastAsia" w:ascii="宋体" w:hAnsi="宋体" w:eastAsia="宋体" w:cs="宋体"/>
                <w:color w:val="auto"/>
                <w:szCs w:val="21"/>
                <w:highlight w:val="none"/>
                <w:lang w:eastAsia="zh-CN"/>
              </w:rPr>
              <w:t>等）归业主方所有，中选服务商不得拆除或破坏。</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ACE6C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BC93F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D29FD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9FAEF1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65E4C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★⑤</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B50938">
            <w:pPr>
              <w:spacing w:line="240" w:lineRule="auto"/>
              <w:jc w:val="both"/>
              <w:rPr>
                <w:rFonts w:hint="eastAsia" w:ascii="宋体" w:hAnsi="宋体"/>
                <w:color w:val="auto"/>
                <w:szCs w:val="21"/>
                <w:highlight w:val="none"/>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应制定装修期间的可行供餐方案，必须确保装修改造期间的正常供餐且应符合食品安全管理要求。</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45AC5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6F58B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A2857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75AFFD1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446A0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⑥</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0DE745">
            <w:pPr>
              <w:spacing w:line="240" w:lineRule="auto"/>
              <w:jc w:val="both"/>
              <w:rPr>
                <w:rFonts w:hint="eastAsia" w:ascii="宋体" w:hAnsi="宋体"/>
                <w:color w:val="auto"/>
                <w:szCs w:val="21"/>
                <w:highlight w:val="none"/>
              </w:rPr>
            </w:pPr>
            <w:r>
              <w:rPr>
                <w:rFonts w:hint="eastAsia" w:ascii="宋体" w:hAnsi="宋体" w:cs="宋体"/>
                <w:color w:val="auto"/>
                <w:szCs w:val="21"/>
                <w:highlight w:val="none"/>
              </w:rPr>
              <w:t>食堂一楼及二楼就餐区必须配置光纤WIFI全面覆盖，一切费用由</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自行承担。</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AA7B2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BEE9F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F8886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0AFA99D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9D1E1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★⑦</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C9BC38">
            <w:pPr>
              <w:keepNext w:val="0"/>
              <w:keepLines w:val="0"/>
              <w:pageBreakBefore w:val="0"/>
              <w:widowControl w:val="0"/>
              <w:shd w:val="clear"/>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中选服务商</w:t>
            </w:r>
            <w:r>
              <w:rPr>
                <w:rFonts w:hint="eastAsia" w:ascii="宋体" w:hAnsi="宋体" w:eastAsia="宋体" w:cs="宋体"/>
                <w:color w:val="auto"/>
                <w:szCs w:val="21"/>
                <w:highlight w:val="none"/>
                <w:lang w:val="zh-CN"/>
              </w:rPr>
              <w:t>应当具备订餐系统、IC卡消费系统功能开发、配置能力，IC卡具有移动刷卡、个人充值、</w:t>
            </w:r>
            <w:r>
              <w:rPr>
                <w:rFonts w:hint="eastAsia" w:ascii="宋体" w:hAnsi="宋体" w:eastAsia="宋体" w:cs="宋体"/>
                <w:color w:val="auto"/>
                <w:szCs w:val="21"/>
                <w:highlight w:val="none"/>
              </w:rPr>
              <w:t>兼容</w:t>
            </w:r>
            <w:r>
              <w:rPr>
                <w:rFonts w:hint="eastAsia" w:ascii="宋体" w:hAnsi="宋体" w:eastAsia="宋体" w:cs="宋体"/>
                <w:color w:val="auto"/>
                <w:szCs w:val="21"/>
                <w:highlight w:val="none"/>
                <w:lang w:eastAsia="zh-CN"/>
              </w:rPr>
              <w:t>业主方</w:t>
            </w:r>
            <w:r>
              <w:rPr>
                <w:rFonts w:hint="eastAsia" w:ascii="宋体" w:hAnsi="宋体" w:eastAsia="宋体" w:cs="宋体"/>
                <w:color w:val="auto"/>
                <w:szCs w:val="21"/>
                <w:highlight w:val="none"/>
              </w:rPr>
              <w:t>现有</w:t>
            </w:r>
            <w:r>
              <w:rPr>
                <w:rFonts w:hint="eastAsia" w:ascii="宋体" w:hAnsi="宋体" w:eastAsia="宋体" w:cs="宋体"/>
                <w:color w:val="auto"/>
                <w:szCs w:val="21"/>
                <w:highlight w:val="none"/>
                <w:lang w:val="zh-CN"/>
              </w:rPr>
              <w:t>门禁等功能，结算报表能区分招标人充值和个人充值。</w:t>
            </w:r>
            <w:r>
              <w:rPr>
                <w:rFonts w:hint="eastAsia" w:ascii="宋体" w:hAnsi="宋体" w:eastAsia="宋体" w:cs="宋体"/>
                <w:color w:val="auto"/>
                <w:szCs w:val="21"/>
                <w:highlight w:val="none"/>
                <w:lang w:val="en-US" w:eastAsia="zh-CN"/>
              </w:rPr>
              <w:t>若需接入医院的相关系统，费用由中选服务商承担。</w:t>
            </w:r>
            <w:r>
              <w:rPr>
                <w:rFonts w:hint="eastAsia" w:ascii="宋体" w:hAnsi="宋体" w:eastAsia="宋体" w:cs="宋体"/>
                <w:color w:val="auto"/>
                <w:szCs w:val="21"/>
                <w:highlight w:val="none"/>
              </w:rPr>
              <w:t>饭堂信息系统应具备以下功能：</w:t>
            </w:r>
          </w:p>
          <w:p w14:paraId="39DEF82A">
            <w:pPr>
              <w:keepNext w:val="0"/>
              <w:keepLines w:val="0"/>
              <w:pageBreakBefore w:val="0"/>
              <w:widowControl w:val="0"/>
              <w:shd w:val="clear"/>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◎具有饭堂APP网上订餐系统（提供该即将上线APP的相关材料，例如操作界面截图、运行方案等）：</w:t>
            </w:r>
          </w:p>
          <w:p w14:paraId="11BE2204">
            <w:pPr>
              <w:keepNext w:val="0"/>
              <w:keepLines w:val="0"/>
              <w:pageBreakBefore w:val="0"/>
              <w:widowControl w:val="0"/>
              <w:shd w:val="clear"/>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具备专有订餐APP且可直接网上订餐。</w:t>
            </w:r>
            <w:r>
              <w:rPr>
                <w:rFonts w:hint="eastAsia" w:ascii="宋体" w:hAnsi="宋体" w:eastAsia="宋体" w:cs="宋体"/>
                <w:color w:val="auto"/>
                <w:szCs w:val="21"/>
                <w:highlight w:val="none"/>
                <w:lang w:eastAsia="zh-CN"/>
              </w:rPr>
              <w:t>业主方</w:t>
            </w:r>
            <w:r>
              <w:rPr>
                <w:rFonts w:hint="eastAsia" w:ascii="宋体" w:hAnsi="宋体" w:eastAsia="宋体" w:cs="宋体"/>
                <w:color w:val="auto"/>
                <w:szCs w:val="21"/>
                <w:highlight w:val="none"/>
              </w:rPr>
              <w:t>的员工可通过手机号或员工代码登录APP，患者或家属通过手机号登录。APP网上订餐系统应可以接受患者信息（病区、姓名、住院号、床号）和员工信息（员工姓名、工号或手机号等）进行订餐，并出具菜品单价明细小票。</w:t>
            </w:r>
          </w:p>
          <w:p w14:paraId="3FD161FA">
            <w:pPr>
              <w:keepNext w:val="0"/>
              <w:keepLines w:val="0"/>
              <w:pageBreakBefore w:val="0"/>
              <w:widowControl w:val="0"/>
              <w:shd w:val="clear"/>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◎从饭堂APP网上订餐后，消费者可以查询所订餐食的物流进度，订单完成后还可以在APP网上订餐系统进行消费评价（具有图片上传功能）。</w:t>
            </w:r>
          </w:p>
          <w:p w14:paraId="302B6449">
            <w:pPr>
              <w:keepNext w:val="0"/>
              <w:keepLines w:val="0"/>
              <w:pageBreakBefore w:val="0"/>
              <w:widowControl w:val="0"/>
              <w:shd w:val="clear"/>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◎饭堂APP网上订餐系统应有预约点餐（例如提前1天下单）、临时取消订单及增加订单的功能，还具有配送餐方式（有堂食、配送、自提或他人代取</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如由他人代取，需设置核对确认环节如随机取餐码）等多种配送方式的选择。</w:t>
            </w:r>
          </w:p>
          <w:p w14:paraId="07E7870A">
            <w:pPr>
              <w:keepNext w:val="0"/>
              <w:keepLines w:val="0"/>
              <w:pageBreakBefore w:val="0"/>
              <w:widowControl w:val="0"/>
              <w:shd w:val="clear"/>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◎饭堂信息化系统应具备医院员工在饭堂消费时，系统应具有：“按医院员工就餐补助规则，在系统中直接扣减补贴金额后，再从员工个人饭卡</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号收取差额”的功能（即员工在饭堂消费时，饭堂信息系统从员工的</w:t>
            </w:r>
            <w:r>
              <w:rPr>
                <w:rFonts w:hint="eastAsia" w:ascii="宋体" w:hAnsi="宋体" w:eastAsia="宋体" w:cs="宋体"/>
                <w:color w:val="auto"/>
                <w:szCs w:val="21"/>
                <w:highlight w:val="none"/>
                <w:lang w:eastAsia="zh-CN"/>
              </w:rPr>
              <w:t>个人账号</w:t>
            </w:r>
            <w:r>
              <w:rPr>
                <w:rFonts w:hint="eastAsia" w:ascii="宋体" w:hAnsi="宋体" w:eastAsia="宋体" w:cs="宋体"/>
                <w:color w:val="auto"/>
                <w:szCs w:val="21"/>
                <w:highlight w:val="none"/>
              </w:rPr>
              <w:t>中收取的金额是减去医院补助后的金额），无需再另行统计并集中发放补助。</w:t>
            </w:r>
            <w:r>
              <w:rPr>
                <w:rFonts w:hint="eastAsia" w:ascii="宋体" w:hAnsi="宋体" w:eastAsia="宋体" w:cs="宋体"/>
                <w:color w:val="auto"/>
                <w:szCs w:val="21"/>
                <w:highlight w:val="none"/>
                <w:lang w:eastAsia="zh-CN"/>
              </w:rPr>
              <w:t>中选服务商</w:t>
            </w:r>
            <w:r>
              <w:rPr>
                <w:rFonts w:hint="eastAsia" w:ascii="宋体" w:hAnsi="宋体" w:eastAsia="宋体" w:cs="宋体"/>
                <w:color w:val="auto"/>
                <w:szCs w:val="21"/>
                <w:highlight w:val="none"/>
              </w:rPr>
              <w:t>应配合用餐补助规则的变化而调整。</w:t>
            </w:r>
          </w:p>
          <w:p w14:paraId="344CEC11">
            <w:pPr>
              <w:keepNext w:val="0"/>
              <w:keepLines w:val="0"/>
              <w:pageBreakBefore w:val="0"/>
              <w:widowControl w:val="0"/>
              <w:shd w:val="clear"/>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饭堂信息系统应具备移动刷卡系统或手机网上消费（绑定饭卡）功能，让无法到食堂现场就餐的员工在病房订餐也能享受到员工消费补助。APP可对全院员工进行科室分组，对特殊科室分组（ICU、手术室、产房、介入室、胃肠镜室等）的线上订餐自动减免配送费。</w:t>
            </w:r>
          </w:p>
          <w:p w14:paraId="23540403">
            <w:pPr>
              <w:keepNext w:val="0"/>
              <w:keepLines w:val="0"/>
              <w:pageBreakBefore w:val="0"/>
              <w:widowControl w:val="0"/>
              <w:shd w:val="clear"/>
              <w:kinsoku/>
              <w:wordWrap/>
              <w:overflowPunct/>
              <w:topLinePunct w:val="0"/>
              <w:autoSpaceDE/>
              <w:autoSpaceDN/>
              <w:bidi w:val="0"/>
              <w:adjustRightInd/>
              <w:snapToGrid/>
              <w:spacing w:line="300" w:lineRule="auto"/>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◎饭堂信息系统应具备直接通过员工手机或</w:t>
            </w:r>
            <w:r>
              <w:rPr>
                <w:rFonts w:hint="eastAsia" w:ascii="宋体" w:hAnsi="宋体" w:eastAsia="宋体" w:cs="宋体"/>
                <w:color w:val="auto"/>
                <w:szCs w:val="21"/>
                <w:highlight w:val="none"/>
                <w:lang w:eastAsia="zh-CN"/>
              </w:rPr>
              <w:t>个人账号</w:t>
            </w:r>
            <w:r>
              <w:rPr>
                <w:rFonts w:hint="eastAsia" w:ascii="宋体" w:hAnsi="宋体" w:eastAsia="宋体" w:cs="宋体"/>
                <w:color w:val="auto"/>
                <w:szCs w:val="21"/>
                <w:highlight w:val="none"/>
              </w:rPr>
              <w:t>进行网上充值和无卡手机扫码消费等功能，应具有通过识别员工出示的手机代码直接扣费（员工在食堂一楼消费可享受对应的优惠折扣）</w:t>
            </w:r>
            <w:r>
              <w:rPr>
                <w:rFonts w:hint="eastAsia" w:ascii="宋体" w:hAnsi="宋体" w:eastAsia="宋体" w:cs="宋体"/>
                <w:color w:val="auto"/>
                <w:szCs w:val="21"/>
                <w:highlight w:val="none"/>
                <w:lang w:val="en-US" w:eastAsia="zh-CN"/>
              </w:rPr>
              <w:t>的功能</w:t>
            </w:r>
            <w:r>
              <w:rPr>
                <w:rFonts w:hint="eastAsia" w:ascii="宋体" w:hAnsi="宋体" w:eastAsia="宋体" w:cs="宋体"/>
                <w:color w:val="auto"/>
                <w:szCs w:val="21"/>
                <w:highlight w:val="none"/>
              </w:rPr>
              <w:t>。</w:t>
            </w:r>
          </w:p>
          <w:p w14:paraId="7C1B9FBE">
            <w:pPr>
              <w:keepNext w:val="0"/>
              <w:keepLines w:val="0"/>
              <w:pageBreakBefore w:val="0"/>
              <w:widowControl w:val="0"/>
              <w:shd w:val="clear"/>
              <w:kinsoku/>
              <w:wordWrap/>
              <w:overflowPunct/>
              <w:topLinePunct w:val="0"/>
              <w:autoSpaceDE/>
              <w:autoSpaceDN/>
              <w:bidi w:val="0"/>
              <w:adjustRightInd/>
              <w:snapToGrid/>
              <w:spacing w:line="300" w:lineRule="auto"/>
              <w:jc w:val="left"/>
              <w:textAlignment w:val="auto"/>
              <w:rPr>
                <w:rFonts w:hint="eastAsia" w:ascii="宋体" w:hAnsi="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中选服务商</w:t>
            </w:r>
            <w:r>
              <w:rPr>
                <w:rFonts w:hint="eastAsia" w:ascii="宋体" w:hAnsi="宋体" w:eastAsia="宋体" w:cs="宋体"/>
                <w:color w:val="auto"/>
                <w:szCs w:val="21"/>
                <w:highlight w:val="none"/>
              </w:rPr>
              <w:t>提供不同类型的IC卡，享受医院补贴的IC卡应有区别。所有卡均由中标方提供，由</w:t>
            </w:r>
            <w:r>
              <w:rPr>
                <w:rFonts w:hint="eastAsia" w:ascii="宋体" w:hAnsi="宋体" w:eastAsia="宋体" w:cs="宋体"/>
                <w:color w:val="auto"/>
                <w:szCs w:val="21"/>
                <w:highlight w:val="none"/>
                <w:lang w:eastAsia="zh-CN"/>
              </w:rPr>
              <w:t>业主方</w:t>
            </w:r>
            <w:r>
              <w:rPr>
                <w:rFonts w:hint="eastAsia" w:ascii="宋体" w:hAnsi="宋体" w:eastAsia="宋体" w:cs="宋体"/>
                <w:color w:val="auto"/>
                <w:szCs w:val="21"/>
                <w:highlight w:val="none"/>
              </w:rPr>
              <w:t>录入信息、发放、补办、取消等。</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B1FE8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B8323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3B42C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0DC1116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10686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⑧</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9CD64F">
            <w:pPr>
              <w:spacing w:line="240" w:lineRule="auto"/>
              <w:jc w:val="both"/>
              <w:rPr>
                <w:rFonts w:hint="eastAsia" w:ascii="宋体" w:hAnsi="宋体"/>
                <w:color w:val="auto"/>
                <w:szCs w:val="21"/>
                <w:highlight w:val="none"/>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在正常营业时</w:t>
            </w:r>
            <w:r>
              <w:rPr>
                <w:rFonts w:hint="eastAsia" w:ascii="宋体" w:hAnsi="宋体" w:cs="宋体"/>
                <w:color w:val="auto"/>
                <w:szCs w:val="21"/>
                <w:highlight w:val="none"/>
                <w:lang w:eastAsia="zh-CN"/>
              </w:rPr>
              <w:t>配备充足的</w:t>
            </w:r>
            <w:r>
              <w:rPr>
                <w:rFonts w:hint="eastAsia" w:ascii="宋体" w:hAnsi="宋体" w:cs="宋体"/>
                <w:color w:val="auto"/>
                <w:szCs w:val="21"/>
                <w:highlight w:val="none"/>
              </w:rPr>
              <w:t>消毒碗柜，以保证各类餐具的清洁消毒效果。</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811DD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62464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FB900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1BDB6DF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4B774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⑨</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88349B">
            <w:pPr>
              <w:spacing w:line="240" w:lineRule="auto"/>
              <w:jc w:val="both"/>
              <w:rPr>
                <w:rFonts w:hint="eastAsia" w:ascii="宋体" w:hAnsi="宋体"/>
                <w:color w:val="auto"/>
                <w:szCs w:val="21"/>
                <w:highlight w:val="none"/>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在正常营业前应</w:t>
            </w:r>
            <w:r>
              <w:rPr>
                <w:rFonts w:hint="eastAsia" w:ascii="宋体" w:hAnsi="宋体" w:cs="宋体"/>
                <w:color w:val="auto"/>
                <w:szCs w:val="21"/>
                <w:highlight w:val="none"/>
                <w:lang w:eastAsia="zh-CN"/>
              </w:rPr>
              <w:t>配备</w:t>
            </w:r>
            <w:r>
              <w:rPr>
                <w:rFonts w:hint="eastAsia" w:ascii="宋体" w:hAnsi="宋体" w:cs="宋体"/>
                <w:color w:val="auto"/>
                <w:szCs w:val="21"/>
                <w:highlight w:val="none"/>
              </w:rPr>
              <w:t>饭菜保温设备，以保证饭菜的保温效果。</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B9914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29B3D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81B55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6A5A43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F90CA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Fonts w:hint="eastAsia" w:ascii="宋体" w:hAnsi="宋体" w:eastAsia="宋体" w:cs="宋体"/>
                <w:color w:val="auto"/>
                <w:kern w:val="2"/>
                <w:sz w:val="21"/>
                <w:szCs w:val="21"/>
                <w:highlight w:val="none"/>
                <w:lang w:val="en-US" w:eastAsia="zh-CN" w:bidi="ar-SA"/>
              </w:rPr>
              <w:t>⑩</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6BD22C">
            <w:pPr>
              <w:spacing w:line="240" w:lineRule="auto"/>
              <w:jc w:val="both"/>
              <w:rPr>
                <w:rFonts w:hint="eastAsia" w:ascii="宋体" w:hAnsi="宋体"/>
                <w:color w:val="auto"/>
                <w:szCs w:val="21"/>
                <w:highlight w:val="none"/>
              </w:rPr>
            </w:pPr>
            <w:r>
              <w:rPr>
                <w:rFonts w:hint="eastAsia" w:ascii="宋体" w:hAnsi="宋体" w:cs="宋体"/>
                <w:color w:val="auto"/>
                <w:kern w:val="2"/>
                <w:sz w:val="21"/>
                <w:szCs w:val="21"/>
                <w:highlight w:val="none"/>
                <w:lang w:val="en-US" w:eastAsia="zh-CN" w:bidi="ar-SA"/>
              </w:rPr>
              <w:t>中选服务商</w:t>
            </w:r>
            <w:r>
              <w:rPr>
                <w:rFonts w:hint="eastAsia" w:ascii="宋体" w:hAnsi="宋体" w:eastAsia="宋体" w:cs="宋体"/>
                <w:color w:val="auto"/>
                <w:kern w:val="2"/>
                <w:sz w:val="21"/>
                <w:szCs w:val="21"/>
                <w:highlight w:val="none"/>
                <w:lang w:val="en-US" w:eastAsia="zh-CN" w:bidi="ar-SA"/>
              </w:rPr>
              <w:t>负责更换全院目前在用的IC饭卡</w:t>
            </w:r>
            <w:r>
              <w:rPr>
                <w:rFonts w:hint="eastAsia" w:ascii="宋体" w:hAnsi="宋体" w:cs="宋体"/>
                <w:color w:val="auto"/>
                <w:kern w:val="2"/>
                <w:sz w:val="21"/>
                <w:szCs w:val="21"/>
                <w:highlight w:val="none"/>
                <w:lang w:val="en-US" w:eastAsia="zh-CN" w:bidi="ar-SA"/>
              </w:rPr>
              <w:t>，并且在合同期内负责我院的饭卡、工牌（IC、ID一体卡）的制作。</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ADDDA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F6129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4FE61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04F5622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08256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Fonts w:hint="eastAsia" w:ascii="宋体" w:hAnsi="宋体" w:eastAsia="宋体" w:cs="宋体"/>
                <w:color w:val="auto"/>
                <w:kern w:val="2"/>
                <w:sz w:val="21"/>
                <w:szCs w:val="21"/>
                <w:highlight w:val="none"/>
                <w:lang w:val="en-US" w:eastAsia="zh-CN" w:bidi="ar-SA"/>
              </w:rPr>
              <w:t>⑪</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461A03">
            <w:pPr>
              <w:spacing w:line="240" w:lineRule="auto"/>
              <w:jc w:val="both"/>
              <w:rPr>
                <w:rFonts w:hint="eastAsia" w:ascii="宋体" w:hAnsi="宋体"/>
                <w:color w:val="auto"/>
                <w:szCs w:val="21"/>
                <w:highlight w:val="none"/>
              </w:rPr>
            </w:pPr>
            <w:r>
              <w:rPr>
                <w:rFonts w:hint="eastAsia" w:ascii="宋体" w:hAnsi="宋体" w:cs="宋体"/>
                <w:color w:val="auto"/>
                <w:kern w:val="2"/>
                <w:sz w:val="21"/>
                <w:szCs w:val="21"/>
                <w:highlight w:val="none"/>
                <w:lang w:val="en-US" w:eastAsia="zh-CN" w:bidi="ar-SA"/>
              </w:rPr>
              <w:t>中选服务商负责安装可燃气体报警装置设备设施，与医院监控室联动，并按照规定对设备进行检验检测。</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E1761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1F47A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74FBF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0AFCDD0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63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A17BAA">
            <w:pPr>
              <w:spacing w:line="240" w:lineRule="auto"/>
              <w:jc w:val="both"/>
              <w:rPr>
                <w:rFonts w:hint="eastAsia" w:ascii="宋体" w:hAnsi="宋体"/>
                <w:color w:val="auto"/>
                <w:szCs w:val="21"/>
                <w:highlight w:val="none"/>
              </w:rPr>
            </w:pPr>
            <w:r>
              <w:rPr>
                <w:rFonts w:hint="eastAsia" w:ascii="宋体" w:hAnsi="宋体" w:cs="宋体"/>
                <w:color w:val="auto"/>
                <w:szCs w:val="21"/>
                <w:highlight w:val="none"/>
              </w:rPr>
              <w:t xml:space="preserve"> </w:t>
            </w:r>
            <w:r>
              <w:rPr>
                <w:rFonts w:hint="eastAsia" w:ascii="宋体" w:hAnsi="宋体" w:cs="宋体"/>
                <w:b/>
                <w:bCs/>
                <w:color w:val="auto"/>
                <w:szCs w:val="21"/>
                <w:highlight w:val="none"/>
              </w:rPr>
              <w:t xml:space="preserve"> </w:t>
            </w:r>
            <w:r>
              <w:rPr>
                <w:rFonts w:hint="eastAsia" w:ascii="宋体" w:hAnsi="宋体" w:cs="宋体"/>
                <w:b/>
                <w:bCs/>
                <w:color w:val="auto"/>
                <w:kern w:val="2"/>
                <w:sz w:val="21"/>
                <w:szCs w:val="21"/>
                <w:highlight w:val="none"/>
              </w:rPr>
              <w:t>7、监控设备的安装</w:t>
            </w:r>
            <w:r>
              <w:rPr>
                <w:rFonts w:hint="eastAsia" w:ascii="宋体" w:hAnsi="宋体" w:cs="宋体"/>
                <w:color w:val="auto"/>
                <w:kern w:val="2"/>
                <w:sz w:val="21"/>
                <w:szCs w:val="21"/>
                <w:highlight w:val="none"/>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B9EDE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F6A75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60D39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6574D48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527CF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w:t>
            </w:r>
            <w:r>
              <w:rPr>
                <w:rFonts w:hint="eastAsia" w:ascii="宋体" w:hAnsi="宋体" w:cs="宋体"/>
                <w:color w:val="auto"/>
                <w:kern w:val="2"/>
                <w:sz w:val="21"/>
                <w:szCs w:val="21"/>
                <w:highlight w:val="none"/>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138617">
            <w:pPr>
              <w:spacing w:line="240" w:lineRule="auto"/>
              <w:jc w:val="both"/>
              <w:rPr>
                <w:rFonts w:hint="eastAsia" w:ascii="宋体" w:hAnsi="宋体"/>
                <w:color w:val="auto"/>
                <w:szCs w:val="21"/>
                <w:highlight w:val="none"/>
              </w:rPr>
            </w:pPr>
            <w:r>
              <w:rPr>
                <w:rFonts w:hint="eastAsia" w:ascii="宋体" w:hAnsi="宋体"/>
                <w:color w:val="auto"/>
                <w:szCs w:val="21"/>
                <w:highlight w:val="none"/>
              </w:rPr>
              <w:t>中选服务商应该在正常营业前在饭堂关键操作间及重点区域完成监控设备的安装，达到全方位监控，以确保对规范操作及食品质量安全进行24小时监督管理，存储时间达到90天以上。具体包括且不仅限于以下区域：</w:t>
            </w:r>
          </w:p>
          <w:p w14:paraId="046AAAD4">
            <w:pPr>
              <w:spacing w:line="240" w:lineRule="auto"/>
              <w:jc w:val="both"/>
              <w:rPr>
                <w:rFonts w:hint="eastAsia" w:ascii="宋体" w:hAnsi="宋体"/>
                <w:color w:val="auto"/>
                <w:szCs w:val="21"/>
                <w:highlight w:val="none"/>
              </w:rPr>
            </w:pPr>
            <w:r>
              <w:rPr>
                <w:rFonts w:hint="eastAsia" w:ascii="宋体" w:hAnsi="宋体"/>
                <w:color w:val="auto"/>
                <w:szCs w:val="21"/>
                <w:highlight w:val="none"/>
              </w:rPr>
              <w:t>①一、二楼各操作间（烹饪间、烧味档、分餐区、烘焙间、洗消间等）；</w:t>
            </w:r>
          </w:p>
          <w:p w14:paraId="7AB64FFA">
            <w:pPr>
              <w:spacing w:line="240" w:lineRule="auto"/>
              <w:jc w:val="both"/>
              <w:rPr>
                <w:rFonts w:hint="eastAsia" w:ascii="宋体" w:hAnsi="宋体"/>
                <w:color w:val="auto"/>
                <w:szCs w:val="21"/>
                <w:highlight w:val="none"/>
              </w:rPr>
            </w:pPr>
            <w:r>
              <w:rPr>
                <w:rFonts w:hint="eastAsia" w:ascii="宋体" w:hAnsi="宋体"/>
                <w:color w:val="auto"/>
                <w:szCs w:val="21"/>
                <w:highlight w:val="none"/>
              </w:rPr>
              <w:t>②一、二楼就餐区；</w:t>
            </w:r>
          </w:p>
          <w:p w14:paraId="2DD2A129">
            <w:pPr>
              <w:spacing w:line="240" w:lineRule="auto"/>
              <w:jc w:val="both"/>
              <w:rPr>
                <w:rFonts w:hint="eastAsia" w:ascii="宋体" w:hAnsi="宋体"/>
                <w:color w:val="auto"/>
                <w:szCs w:val="21"/>
                <w:highlight w:val="none"/>
              </w:rPr>
            </w:pPr>
            <w:r>
              <w:rPr>
                <w:rFonts w:hint="eastAsia" w:ascii="宋体" w:hAnsi="宋体"/>
                <w:color w:val="auto"/>
                <w:szCs w:val="21"/>
                <w:highlight w:val="none"/>
              </w:rPr>
              <w:t>③一、二楼收银处；</w:t>
            </w:r>
          </w:p>
          <w:p w14:paraId="2E074404">
            <w:pPr>
              <w:spacing w:line="240" w:lineRule="auto"/>
              <w:jc w:val="both"/>
              <w:rPr>
                <w:rFonts w:hint="eastAsia" w:ascii="宋体" w:hAnsi="宋体"/>
                <w:color w:val="auto"/>
                <w:szCs w:val="21"/>
                <w:highlight w:val="none"/>
              </w:rPr>
            </w:pPr>
            <w:r>
              <w:rPr>
                <w:rFonts w:hint="eastAsia" w:ascii="宋体" w:hAnsi="宋体"/>
                <w:color w:val="auto"/>
                <w:szCs w:val="21"/>
                <w:highlight w:val="none"/>
              </w:rPr>
              <w:t>④一、二楼各出入口。</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902EB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F1C70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EB42B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42BAE3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13D52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w:t>
            </w:r>
            <w:r>
              <w:rPr>
                <w:rFonts w:hint="eastAsia" w:ascii="宋体" w:hAnsi="宋体" w:cs="宋体"/>
                <w:color w:val="auto"/>
                <w:kern w:val="2"/>
                <w:sz w:val="21"/>
                <w:szCs w:val="21"/>
                <w:highlight w:val="none"/>
              </w:rPr>
              <w:t>（2）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318059">
            <w:pPr>
              <w:spacing w:line="240" w:lineRule="auto"/>
              <w:jc w:val="both"/>
              <w:rPr>
                <w:rFonts w:hint="eastAsia" w:ascii="宋体" w:hAnsi="宋体"/>
                <w:color w:val="auto"/>
                <w:szCs w:val="21"/>
                <w:highlight w:val="none"/>
              </w:rPr>
            </w:pPr>
            <w:r>
              <w:rPr>
                <w:rFonts w:hint="eastAsia" w:ascii="宋体" w:hAnsi="宋体" w:cs="宋体"/>
                <w:color w:val="auto"/>
                <w:kern w:val="2"/>
                <w:sz w:val="21"/>
                <w:szCs w:val="21"/>
                <w:highlight w:val="none"/>
                <w:lang w:eastAsia="zh-CN"/>
              </w:rPr>
              <w:t>中选服务商</w:t>
            </w:r>
            <w:r>
              <w:rPr>
                <w:rFonts w:hint="eastAsia" w:ascii="宋体" w:hAnsi="宋体" w:cs="宋体"/>
                <w:color w:val="auto"/>
                <w:kern w:val="2"/>
                <w:sz w:val="21"/>
                <w:szCs w:val="21"/>
                <w:highlight w:val="none"/>
              </w:rPr>
              <w:t>应按照</w:t>
            </w:r>
            <w:r>
              <w:rPr>
                <w:rFonts w:hint="eastAsia" w:ascii="宋体" w:hAnsi="宋体" w:cs="宋体"/>
                <w:color w:val="auto"/>
                <w:kern w:val="2"/>
                <w:sz w:val="21"/>
                <w:szCs w:val="21"/>
                <w:highlight w:val="none"/>
                <w:lang w:eastAsia="zh-CN"/>
              </w:rPr>
              <w:t>业主方</w:t>
            </w:r>
            <w:r>
              <w:rPr>
                <w:rFonts w:hint="eastAsia" w:ascii="宋体" w:hAnsi="宋体" w:cs="宋体"/>
                <w:color w:val="auto"/>
                <w:kern w:val="2"/>
                <w:sz w:val="21"/>
                <w:szCs w:val="21"/>
                <w:highlight w:val="none"/>
              </w:rPr>
              <w:t>主管部门的要求，在共同进行现场勘查确定后，按照在合理的位置，如</w:t>
            </w:r>
            <w:r>
              <w:rPr>
                <w:rFonts w:hint="eastAsia" w:ascii="宋体" w:hAnsi="宋体" w:cs="宋体"/>
                <w:color w:val="auto"/>
                <w:kern w:val="2"/>
                <w:sz w:val="21"/>
                <w:szCs w:val="21"/>
                <w:highlight w:val="none"/>
                <w:lang w:eastAsia="zh-CN"/>
              </w:rPr>
              <w:t>业主方</w:t>
            </w:r>
            <w:r>
              <w:rPr>
                <w:rFonts w:hint="eastAsia" w:ascii="宋体" w:hAnsi="宋体" w:cs="宋体"/>
                <w:color w:val="auto"/>
                <w:kern w:val="2"/>
                <w:sz w:val="21"/>
                <w:szCs w:val="21"/>
                <w:highlight w:val="none"/>
              </w:rPr>
              <w:t>主管部门要求需安装的位置或在合同期内根据实际情况需加装监控设备的，</w:t>
            </w:r>
            <w:r>
              <w:rPr>
                <w:rFonts w:hint="eastAsia" w:ascii="宋体" w:hAnsi="宋体" w:cs="宋体"/>
                <w:color w:val="auto"/>
                <w:kern w:val="2"/>
                <w:sz w:val="21"/>
                <w:szCs w:val="21"/>
                <w:highlight w:val="none"/>
                <w:lang w:eastAsia="zh-CN"/>
              </w:rPr>
              <w:t>中选服务商</w:t>
            </w:r>
            <w:r>
              <w:rPr>
                <w:rFonts w:hint="eastAsia" w:ascii="宋体" w:hAnsi="宋体" w:cs="宋体"/>
                <w:color w:val="auto"/>
                <w:kern w:val="2"/>
                <w:sz w:val="21"/>
                <w:szCs w:val="21"/>
                <w:highlight w:val="none"/>
              </w:rPr>
              <w:t>应按照要求安装，设备及安装等所有费用由</w:t>
            </w:r>
            <w:r>
              <w:rPr>
                <w:rFonts w:hint="eastAsia" w:ascii="宋体" w:hAnsi="宋体" w:cs="宋体"/>
                <w:color w:val="auto"/>
                <w:kern w:val="2"/>
                <w:sz w:val="21"/>
                <w:szCs w:val="21"/>
                <w:highlight w:val="none"/>
                <w:lang w:eastAsia="zh-CN"/>
              </w:rPr>
              <w:t>中选服务商</w:t>
            </w:r>
            <w:r>
              <w:rPr>
                <w:rFonts w:hint="eastAsia" w:ascii="宋体" w:hAnsi="宋体" w:cs="宋体"/>
                <w:color w:val="auto"/>
                <w:kern w:val="2"/>
                <w:sz w:val="21"/>
                <w:szCs w:val="21"/>
                <w:highlight w:val="none"/>
              </w:rPr>
              <w:t>承担。</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5129C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3ABBC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21EC2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2E4CA75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F28F4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w:t>
            </w:r>
            <w:r>
              <w:rPr>
                <w:rStyle w:val="33"/>
                <w:rFonts w:hint="eastAsia" w:ascii="宋体" w:hAnsi="宋体" w:cs="宋体"/>
                <w:b w:val="0"/>
                <w:bCs w:val="0"/>
                <w:color w:val="auto"/>
                <w:kern w:val="2"/>
                <w:sz w:val="21"/>
                <w:szCs w:val="21"/>
                <w:lang w:val="en-US" w:eastAsia="zh-CN"/>
              </w:rPr>
              <w:t>8</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8B3178">
            <w:pPr>
              <w:spacing w:line="240" w:lineRule="auto"/>
              <w:jc w:val="both"/>
              <w:rPr>
                <w:rFonts w:hint="eastAsia" w:ascii="宋体" w:hAnsi="宋体"/>
                <w:color w:val="auto"/>
                <w:szCs w:val="21"/>
                <w:highlight w:val="none"/>
              </w:rPr>
            </w:pPr>
            <w:r>
              <w:rPr>
                <w:rFonts w:hint="eastAsia" w:ascii="宋体" w:hAnsi="宋体"/>
                <w:b/>
                <w:bCs/>
                <w:color w:val="auto"/>
                <w:szCs w:val="21"/>
                <w:highlight w:val="none"/>
              </w:rPr>
              <w:t>履约保证金：</w:t>
            </w:r>
            <w:r>
              <w:rPr>
                <w:rFonts w:hint="eastAsia" w:ascii="宋体" w:hAnsi="宋体"/>
                <w:color w:val="auto"/>
                <w:szCs w:val="21"/>
                <w:highlight w:val="none"/>
              </w:rPr>
              <w:t>中选服务商中标后在签订正式合同之日起一个月内，向业主方缴纳10万元履约保证金，作为其全面履行合同义务（包括食品安全、服务质量、设备维护、人员管理等）的担保。若中选服务商发生违约行为，业主方有权扣减履约保证金。待中选服务商合同期后，无发生突发事件或严重的不良事件的，等双方交接完毕并评价优秀后，业主方将会无息退还履约保证金。</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33B42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808ED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6AD36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12BA4FD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EF5B0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★9</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92D332">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中选服务商应该在正常营业时投入使用“智慧餐厅”系统，并实现以下功能：</w:t>
            </w:r>
          </w:p>
          <w:p w14:paraId="5FF07826">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（1）自助称重，开放式一菜一价自由餐，自由、透明、公道、灵活。</w:t>
            </w:r>
          </w:p>
          <w:p w14:paraId="7BA8EC03">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（2）智慧餐盘结算，高效、便捷的结算方式，减少就餐高峰期的排队情况。</w:t>
            </w:r>
          </w:p>
          <w:p w14:paraId="1FB9B2E0">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（3）提供便捷操作如下：</w:t>
            </w:r>
          </w:p>
          <w:p w14:paraId="78640A74">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①关注公众号，自行注册充值</w:t>
            </w:r>
          </w:p>
          <w:p w14:paraId="13E0BBD4">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②取托盘，到绑卡机处刷脸绑定托盘</w:t>
            </w:r>
          </w:p>
          <w:p w14:paraId="47139247">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 xml:space="preserve">③绑定成功，拿取托盘到各菜盘处自行取菜 </w:t>
            </w:r>
          </w:p>
          <w:p w14:paraId="6098093C">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④完成取菜后托盘放在下面感应盘上面，自动生成订单</w:t>
            </w:r>
          </w:p>
          <w:p w14:paraId="0E40B59F">
            <w:pPr>
              <w:spacing w:line="240" w:lineRule="auto"/>
              <w:jc w:val="both"/>
              <w:rPr>
                <w:rFonts w:hint="eastAsia" w:ascii="宋体" w:hAnsi="宋体"/>
                <w:b/>
                <w:bCs/>
                <w:color w:val="auto"/>
                <w:szCs w:val="21"/>
                <w:highlight w:val="none"/>
              </w:rPr>
            </w:pPr>
            <w:r>
              <w:rPr>
                <w:rFonts w:hint="eastAsia" w:ascii="宋体" w:hAnsi="宋体"/>
                <w:b w:val="0"/>
                <w:bCs w:val="0"/>
                <w:color w:val="auto"/>
                <w:szCs w:val="21"/>
                <w:highlight w:val="none"/>
              </w:rPr>
              <w:t>⑤自动余额结算</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1D4D3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E932C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800BD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02137EA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70440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★10</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5F5795">
            <w:pPr>
              <w:spacing w:line="240" w:lineRule="auto"/>
              <w:jc w:val="both"/>
              <w:rPr>
                <w:rFonts w:hint="eastAsia" w:ascii="宋体" w:hAnsi="宋体"/>
                <w:b/>
                <w:bCs/>
                <w:color w:val="auto"/>
                <w:szCs w:val="21"/>
                <w:highlight w:val="none"/>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应在中标后1个月内在手术室、产房、ICU、介入室、胃镜室等科室增设智能保温柜或温餐车等保温设备（根据</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实际科室需求进行投放）,解决医生手术餐、误餐等问题。餐厅接单，将餐品打包完成后，由配餐员将餐品摆放至保温设备内。医护人员可以随时取餐，确保保温、安全。</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70BBF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E4D81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9A276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250869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6739B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28BB65">
            <w:pPr>
              <w:spacing w:line="240" w:lineRule="auto"/>
              <w:jc w:val="both"/>
              <w:rPr>
                <w:rFonts w:hint="eastAsia" w:ascii="宋体" w:hAnsi="宋体"/>
                <w:b/>
                <w:bCs/>
                <w:color w:val="auto"/>
                <w:szCs w:val="21"/>
                <w:highlight w:val="none"/>
              </w:rPr>
            </w:pPr>
            <w:r>
              <w:rPr>
                <w:rFonts w:hint="eastAsia" w:ascii="宋体" w:hAnsi="宋体" w:cs="宋体"/>
                <w:color w:val="auto"/>
                <w:szCs w:val="21"/>
                <w:highlight w:val="none"/>
                <w:lang w:val="en-US" w:eastAsia="zh-CN"/>
              </w:rPr>
              <w:t>中选服务商所投入的装修、固定资产类设备设施（不包含餐具用具等低值易耗品）按6年计算折旧，后三年的折旧费用由下一服务期的中选服务商承担。中选服务商需向业主方提供固定资产类设备设施的目录清单、采购发票及其他相关凭证，业主方可委托第三方审计机构进行审计，最终确定拟进行折旧的资产清单和资产总额。合同期内，中选服务商负责折旧设备设施的保管、维修维护、更换，合同到期后，须将折旧目录清单内的所有设备设施移交给下一期服务商，如有缺失的，由中选服务商负责补充，或者将缺失的设备设施移出折旧资产清单。</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FF89A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6FEAF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2BFB6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0294295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A3113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427EA6">
            <w:pPr>
              <w:spacing w:line="240" w:lineRule="auto"/>
              <w:jc w:val="both"/>
              <w:rPr>
                <w:rFonts w:hint="eastAsia" w:ascii="宋体" w:hAnsi="宋体"/>
                <w:b/>
                <w:bCs/>
                <w:color w:val="auto"/>
                <w:szCs w:val="21"/>
                <w:highlight w:val="none"/>
              </w:rPr>
            </w:pPr>
            <w:r>
              <w:rPr>
                <w:rFonts w:hint="eastAsia" w:ascii="宋体" w:hAnsi="宋体" w:cs="宋体"/>
                <w:color w:val="auto"/>
                <w:szCs w:val="21"/>
                <w:highlight w:val="none"/>
                <w:lang w:val="en-US" w:eastAsia="zh-CN"/>
              </w:rPr>
              <w:t>按加速折旧法中的“年数总和法”进行折旧，每年折旧率约为：第一年28.57%、第二年23.80%、第三年19.05%、第四年14.30%、第五年9.52%、第六年4.76%，从合同起始日开始计算折旧，折旧完后，所有设备设施产权归业主方所有。</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5F449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2AE9F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F9279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4F9825C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1092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B82149">
            <w:pPr>
              <w:keepNext w:val="0"/>
              <w:keepLines w:val="0"/>
              <w:pageBreakBefore w:val="0"/>
              <w:widowControl w:val="0"/>
              <w:shd w:val="clear"/>
              <w:kinsoku/>
              <w:wordWrap/>
              <w:overflowPunct/>
              <w:topLinePunct w:val="0"/>
              <w:autoSpaceDE/>
              <w:autoSpaceDN/>
              <w:bidi w:val="0"/>
              <w:adjustRightInd/>
              <w:snapToGrid/>
              <w:spacing w:line="300" w:lineRule="auto"/>
              <w:jc w:val="left"/>
              <w:textAlignment w:val="auto"/>
              <w:rPr>
                <w:rStyle w:val="33"/>
                <w:rFonts w:hint="eastAsia" w:ascii="宋体" w:hAnsi="宋体" w:eastAsia="宋体" w:cs="宋体"/>
                <w:b w:val="0"/>
                <w:bCs w:val="0"/>
                <w:color w:val="auto"/>
                <w:kern w:val="2"/>
                <w:sz w:val="21"/>
                <w:szCs w:val="21"/>
                <w:lang w:val="zh-TW" w:eastAsia="zh-TW"/>
              </w:rPr>
            </w:pPr>
            <w:r>
              <w:rPr>
                <w:rStyle w:val="33"/>
                <w:rFonts w:hint="eastAsia" w:ascii="宋体" w:hAnsi="宋体" w:cs="宋体"/>
                <w:b/>
                <w:bCs/>
                <w:color w:val="auto"/>
                <w:kern w:val="2"/>
                <w:sz w:val="21"/>
                <w:szCs w:val="21"/>
                <w:lang w:val="en-US" w:eastAsia="zh-CN"/>
              </w:rPr>
              <w:t>三、</w:t>
            </w:r>
            <w:r>
              <w:rPr>
                <w:rStyle w:val="33"/>
                <w:rFonts w:hint="eastAsia" w:ascii="宋体" w:hAnsi="宋体" w:eastAsia="宋体" w:cs="宋体"/>
                <w:b/>
                <w:bCs/>
                <w:color w:val="auto"/>
                <w:kern w:val="2"/>
                <w:sz w:val="21"/>
                <w:szCs w:val="21"/>
                <w:lang w:val="zh-TW" w:eastAsia="zh-TW"/>
              </w:rPr>
              <w:t>服务要求：</w:t>
            </w:r>
          </w:p>
        </w:tc>
      </w:tr>
      <w:tr w14:paraId="64CC89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B16BB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5696BC">
            <w:pPr>
              <w:spacing w:line="240" w:lineRule="auto"/>
              <w:jc w:val="both"/>
              <w:rPr>
                <w:rFonts w:hint="eastAsia" w:ascii="宋体" w:hAnsi="宋体"/>
                <w:b/>
                <w:bCs/>
                <w:color w:val="auto"/>
                <w:szCs w:val="21"/>
                <w:highlight w:val="none"/>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供应“由消费者自选菜品”的供餐模式。每餐供应食品的种类应包括（但不限于）：粤菜、湘菜、川菜、粥、粉、面类和各类风味小吃等，并提供各种调味料如：糖、酱油、辣椒圈/酱等；午、晚餐</w:t>
            </w:r>
            <w:r>
              <w:rPr>
                <w:rFonts w:hint="eastAsia" w:hAnsi="宋体"/>
                <w:color w:val="auto"/>
                <w:szCs w:val="21"/>
                <w:highlight w:val="none"/>
                <w:lang w:val="zh-CN"/>
              </w:rPr>
              <w:t>米饭和例汤</w:t>
            </w:r>
            <w:r>
              <w:rPr>
                <w:rFonts w:hint="eastAsia" w:hAnsi="宋体"/>
                <w:color w:val="auto"/>
                <w:szCs w:val="21"/>
                <w:highlight w:val="none"/>
              </w:rPr>
              <w:t>可无限</w:t>
            </w:r>
            <w:r>
              <w:rPr>
                <w:rFonts w:hint="eastAsia" w:hAnsi="宋体"/>
                <w:color w:val="auto"/>
                <w:szCs w:val="21"/>
                <w:highlight w:val="none"/>
                <w:lang w:val="zh-CN"/>
              </w:rPr>
              <w:t>添加，</w:t>
            </w:r>
            <w:r>
              <w:rPr>
                <w:rFonts w:hint="eastAsia" w:hAnsi="宋体"/>
                <w:color w:val="auto"/>
                <w:szCs w:val="21"/>
                <w:highlight w:val="none"/>
                <w:lang w:val="en-US" w:eastAsia="zh-CN"/>
              </w:rPr>
              <w:t>二楼职工饭堂不少于20个菜品</w:t>
            </w:r>
            <w:r>
              <w:rPr>
                <w:rFonts w:hint="eastAsia" w:hAnsi="宋体"/>
                <w:color w:val="auto"/>
                <w:szCs w:val="21"/>
                <w:highlight w:val="none"/>
                <w:lang w:val="zh-CN"/>
              </w:rPr>
              <w:t>。</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89B3B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C3D74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0C3F2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2A394EA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030B5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0BB040">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按照我院的要求，需要提供不少于以下的餐品类型（必要时营养科协助制定相关的餐食标准）：</w:t>
            </w:r>
          </w:p>
          <w:p w14:paraId="44B23AF9">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（1）住院患者基本膳食；</w:t>
            </w:r>
          </w:p>
          <w:p w14:paraId="02DF2F2A">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（2）住院患者特殊治疗膳食（低糖餐、减脂餐、流质等）；</w:t>
            </w:r>
          </w:p>
          <w:p w14:paraId="5E7F14E9">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（3）住院产妇月子餐；</w:t>
            </w:r>
          </w:p>
          <w:p w14:paraId="13FBD094">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（4）体检餐（业主方指定体检餐标，中选服务商按需进行供应）；</w:t>
            </w:r>
          </w:p>
          <w:p w14:paraId="648B7149">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（5）职工的基本膳食（早餐、午餐、晚餐），分为自助菜品以及一楼独立菜品（不限于快餐、煲仔饭、汤粉面等）；</w:t>
            </w:r>
          </w:p>
          <w:p w14:paraId="0DCB0C30">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（6）一楼患者的基本膳食（早餐、午餐、晚餐），不限于快餐、煲仔饭、汤粉面等；</w:t>
            </w:r>
          </w:p>
          <w:p w14:paraId="7858E60B">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（7）特殊地方风味膳食；</w:t>
            </w:r>
          </w:p>
          <w:p w14:paraId="5E31D02E">
            <w:pPr>
              <w:spacing w:line="240" w:lineRule="auto"/>
              <w:jc w:val="both"/>
              <w:rPr>
                <w:rFonts w:hint="eastAsia" w:ascii="宋体" w:hAnsi="宋体"/>
                <w:b/>
                <w:bCs/>
                <w:color w:val="auto"/>
                <w:szCs w:val="21"/>
                <w:highlight w:val="none"/>
              </w:rPr>
            </w:pPr>
            <w:r>
              <w:rPr>
                <w:rFonts w:hint="eastAsia" w:ascii="宋体" w:hAnsi="宋体"/>
                <w:b w:val="0"/>
                <w:bCs w:val="0"/>
                <w:color w:val="auto"/>
                <w:szCs w:val="21"/>
                <w:highlight w:val="none"/>
              </w:rPr>
              <w:t>打包送餐额外加收打包费不得高于1元（特殊科室如ICU、手术室、产房等免打包费），早中晚餐外卖配送不设置起送门槛。</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AB886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31EFF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A2EC7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404F606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74FCD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2"/>
                <w:sz w:val="21"/>
                <w:szCs w:val="21"/>
                <w:highlight w:val="none"/>
                <w:lang w:val="en-US" w:eastAsia="zh-CN" w:bidi="ar-SA"/>
              </w:rPr>
              <w:t>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BC14F9">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响应服务商需在供应方案中列明所供应的早餐的每个品种菜式、午晚餐的荤菜、半荤菜以及素菜的菜式、价格以及供应方案，至少包含以下内容：</w:t>
            </w:r>
          </w:p>
          <w:p w14:paraId="64D8C508">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①计划供应的早餐所有品种菜式名录</w:t>
            </w:r>
          </w:p>
          <w:p w14:paraId="5A1D132F">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②计划供应的所有荤菜菜式名录</w:t>
            </w:r>
          </w:p>
          <w:p w14:paraId="1746727C">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③计划供应的所有半荤菜菜式名录</w:t>
            </w:r>
          </w:p>
          <w:p w14:paraId="1DBB729C">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④计划供应的所有素菜菜式名录</w:t>
            </w:r>
          </w:p>
          <w:p w14:paraId="6FBF649E">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⑤计划供应的例汤名录</w:t>
            </w:r>
          </w:p>
          <w:p w14:paraId="2AD1902C">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⑥计划供应的煲仔饭名录</w:t>
            </w:r>
          </w:p>
          <w:p w14:paraId="57C1A82A">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⑦计划供应的炖汤名录</w:t>
            </w:r>
          </w:p>
          <w:p w14:paraId="3C128E53">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⑧计划供应的地方特色风味餐名录（如北方特色面食、水煮鱼/牛肉等）</w:t>
            </w:r>
          </w:p>
          <w:p w14:paraId="76BF682C">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 xml:space="preserve">⑨每天供应的菜式计划表（按照每周为一个周期进行计划）  </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AB2DD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66894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F4E2B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90021D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A40DF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222062">
            <w:pPr>
              <w:spacing w:line="240" w:lineRule="auto"/>
              <w:jc w:val="both"/>
              <w:rPr>
                <w:rFonts w:hint="eastAsia" w:ascii="宋体" w:hAnsi="宋体"/>
                <w:b/>
                <w:bCs/>
                <w:color w:val="auto"/>
                <w:szCs w:val="21"/>
                <w:highlight w:val="none"/>
              </w:rPr>
            </w:pPr>
            <w:r>
              <w:rPr>
                <w:rFonts w:hint="eastAsia" w:ascii="宋体" w:hAnsi="宋体" w:cs="宋体"/>
                <w:color w:val="auto"/>
                <w:szCs w:val="21"/>
                <w:highlight w:val="none"/>
              </w:rPr>
              <w:t>为产妇、患者及家属提供的餐饮食品价格不得高于市场</w:t>
            </w:r>
            <w:r>
              <w:rPr>
                <w:rFonts w:hint="eastAsia" w:ascii="宋体" w:hAnsi="宋体" w:cs="宋体"/>
                <w:color w:val="auto"/>
                <w:szCs w:val="21"/>
                <w:highlight w:val="none"/>
                <w:lang w:val="en-US" w:eastAsia="zh-CN"/>
              </w:rPr>
              <w:t>同等水平</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中选服务商在投标时提供供应患者及家属的菜品定价报价（包含但不限于：点心类、煲仔饭类、粥粉面类、快餐、月子餐套餐、低糖餐等）</w:t>
            </w:r>
            <w:r>
              <w:rPr>
                <w:rFonts w:hint="eastAsia" w:ascii="宋体" w:hAnsi="宋体" w:cs="宋体"/>
                <w:color w:val="auto"/>
                <w:szCs w:val="21"/>
                <w:highlight w:val="none"/>
              </w:rPr>
              <w:t>。具体价格可根据市场的价格浮动，由</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提出书面申请，经双方核定确认后方可浮动，</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不得私自调整价格。</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应配合和接受</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主管部门有权检查和监督</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的进货价格、成本、会计账单等</w:t>
            </w:r>
            <w:r>
              <w:rPr>
                <w:rFonts w:hint="eastAsia" w:ascii="宋体" w:hAnsi="宋体" w:cs="宋体"/>
                <w:color w:val="auto"/>
                <w:szCs w:val="21"/>
                <w:highlight w:val="none"/>
                <w:lang w:val="en-US" w:eastAsia="zh-CN"/>
              </w:rPr>
              <w:t>台账</w:t>
            </w:r>
            <w:r>
              <w:rPr>
                <w:rFonts w:hint="eastAsia" w:ascii="宋体" w:hAnsi="宋体" w:cs="宋体"/>
                <w:color w:val="auto"/>
                <w:szCs w:val="21"/>
                <w:highlight w:val="none"/>
              </w:rPr>
              <w:t>资料的监督和管理。</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1CB4B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50E97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9A1C5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610B17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DA382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95485D">
            <w:pPr>
              <w:spacing w:line="240" w:lineRule="auto"/>
              <w:jc w:val="both"/>
              <w:rPr>
                <w:rFonts w:hint="eastAsia" w:ascii="宋体" w:hAnsi="宋体"/>
                <w:b/>
                <w:bCs/>
                <w:color w:val="auto"/>
                <w:szCs w:val="21"/>
                <w:highlight w:val="none"/>
              </w:rPr>
            </w:pPr>
            <w:r>
              <w:rPr>
                <w:rFonts w:hint="eastAsia" w:ascii="宋体" w:hAnsi="宋体" w:eastAsia="宋体" w:cs="宋体"/>
                <w:color w:val="auto"/>
                <w:kern w:val="2"/>
                <w:sz w:val="21"/>
                <w:szCs w:val="21"/>
                <w:highlight w:val="none"/>
                <w:lang w:val="en-US" w:eastAsia="zh-CN" w:bidi="ar-SA"/>
              </w:rPr>
              <w:t>职工餐（含职工、规培、实习人员、进修人员、研究生等）的</w:t>
            </w:r>
            <w:r>
              <w:rPr>
                <w:rFonts w:hint="eastAsia" w:ascii="宋体" w:hAnsi="宋体" w:cs="宋体"/>
                <w:color w:val="auto"/>
                <w:kern w:val="2"/>
                <w:sz w:val="21"/>
                <w:szCs w:val="21"/>
                <w:highlight w:val="none"/>
                <w:lang w:val="en-US" w:eastAsia="zh-CN" w:bidi="ar-SA"/>
              </w:rPr>
              <w:t>菜品单价根据现供应的菜品单价进行下浮，下浮区间为10%～30%（即折扣率70%～90%）（详见附表），未在附表内的菜品，以现有同品类菜品下浮后的价格定价销售</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职工二楼称重白饭价格固定0.5元（400g以内）。</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AAB5B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4F385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D2FCA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2165A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487DD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218767">
            <w:pPr>
              <w:spacing w:line="240" w:lineRule="auto"/>
              <w:jc w:val="both"/>
              <w:rPr>
                <w:rFonts w:hint="eastAsia" w:ascii="宋体" w:hAnsi="宋体"/>
                <w:b/>
                <w:bCs/>
                <w:color w:val="auto"/>
                <w:szCs w:val="21"/>
                <w:highlight w:val="none"/>
              </w:rPr>
            </w:pPr>
            <w:r>
              <w:rPr>
                <w:rFonts w:hint="eastAsia" w:ascii="宋体" w:hAnsi="宋体"/>
                <w:b w:val="0"/>
                <w:bCs w:val="0"/>
                <w:color w:val="auto"/>
                <w:szCs w:val="21"/>
                <w:highlight w:val="none"/>
              </w:rPr>
              <w:t>中选服务商需配合和接受业主方对进货价格、成本、会计账单等台账资料的监督和管理，业主方有权指定第三方审计机构对食堂的经营状况进行审计。医院享有食堂运营系统的数据报表监管权限，中选服务商需开放系统权限给业主方，业主方可随时查阅以下数据：营业收入、经营成本、实时食材溯源情况、库存数量、产品销量、收据等，以上数据不得弄虚作假。如发现有偷水、偷电、偷汽等行为业主方有权按当月应付费的10倍扣罚。</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2CAEB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425CB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92A50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1374C7B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BABF3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89E65A">
            <w:pPr>
              <w:spacing w:line="240" w:lineRule="auto"/>
              <w:jc w:val="both"/>
              <w:rPr>
                <w:rFonts w:hint="eastAsia" w:ascii="宋体" w:hAnsi="宋体"/>
                <w:b w:val="0"/>
                <w:bCs w:val="0"/>
                <w:color w:val="auto"/>
                <w:szCs w:val="21"/>
                <w:highlight w:val="none"/>
              </w:rPr>
            </w:pPr>
            <w:r>
              <w:rPr>
                <w:rFonts w:hint="eastAsia" w:ascii="宋体" w:hAnsi="宋体" w:cs="宋体"/>
                <w:color w:val="auto"/>
                <w:kern w:val="2"/>
                <w:sz w:val="21"/>
                <w:szCs w:val="21"/>
                <w:highlight w:val="none"/>
                <w:lang w:val="en-US" w:eastAsia="zh-CN" w:bidi="ar-SA"/>
              </w:rPr>
              <w:t>中选服务商</w:t>
            </w:r>
            <w:r>
              <w:rPr>
                <w:rFonts w:hint="eastAsia" w:ascii="宋体" w:hAnsi="宋体" w:eastAsia="宋体" w:cs="宋体"/>
                <w:color w:val="auto"/>
                <w:kern w:val="2"/>
                <w:sz w:val="21"/>
                <w:szCs w:val="21"/>
                <w:highlight w:val="none"/>
                <w:lang w:val="en-US" w:eastAsia="zh-CN" w:bidi="ar-SA"/>
              </w:rPr>
              <w:t>每月 10 号前需向</w:t>
            </w:r>
            <w:r>
              <w:rPr>
                <w:rFonts w:hint="eastAsia" w:ascii="宋体" w:hAnsi="宋体" w:cs="宋体"/>
                <w:color w:val="auto"/>
                <w:kern w:val="2"/>
                <w:sz w:val="21"/>
                <w:szCs w:val="21"/>
                <w:highlight w:val="none"/>
                <w:lang w:val="en-US" w:eastAsia="zh-CN" w:bidi="ar-SA"/>
              </w:rPr>
              <w:t>业主方</w:t>
            </w:r>
            <w:r>
              <w:rPr>
                <w:rFonts w:hint="eastAsia" w:ascii="宋体" w:hAnsi="宋体" w:eastAsia="宋体" w:cs="宋体"/>
                <w:color w:val="auto"/>
                <w:kern w:val="2"/>
                <w:sz w:val="21"/>
                <w:szCs w:val="21"/>
                <w:highlight w:val="none"/>
                <w:lang w:val="en-US" w:eastAsia="zh-CN" w:bidi="ar-SA"/>
              </w:rPr>
              <w:t>提交食堂上一月份的经营报表。</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D169D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05B91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9E642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14B93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6857F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258612">
            <w:pPr>
              <w:spacing w:line="240" w:lineRule="auto"/>
              <w:jc w:val="both"/>
              <w:rPr>
                <w:rFonts w:hint="eastAsia" w:ascii="宋体" w:hAnsi="宋体"/>
                <w:b w:val="0"/>
                <w:bCs w:val="0"/>
                <w:color w:val="auto"/>
                <w:szCs w:val="21"/>
                <w:highlight w:val="none"/>
              </w:rPr>
            </w:pPr>
            <w:r>
              <w:rPr>
                <w:rFonts w:hint="eastAsia" w:ascii="宋体" w:hAnsi="宋体" w:cs="宋体"/>
                <w:color w:val="auto"/>
                <w:szCs w:val="21"/>
                <w:highlight w:val="none"/>
              </w:rPr>
              <w:t>消费结算方式：医院的员工（含实习生、进修生、医院内</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工作人员）就餐时以个人饭卡或信息代码进行结算的方式结算，二楼职工就餐区不得收取现金。医院的员工（含实习生、进修生、医院内</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工作人员）在一楼就餐</w:t>
            </w:r>
            <w:r>
              <w:rPr>
                <w:rFonts w:hint="eastAsia" w:ascii="宋体" w:hAnsi="宋体" w:cs="宋体"/>
                <w:strike w:val="0"/>
                <w:dstrike w:val="0"/>
                <w:color w:val="auto"/>
                <w:kern w:val="2"/>
                <w:sz w:val="21"/>
                <w:szCs w:val="21"/>
                <w:highlight w:val="none"/>
                <w:lang w:val="en-US" w:eastAsia="zh-CN" w:bidi="ar-SA"/>
              </w:rPr>
              <w:t>按菜品下浮定价价格结算</w:t>
            </w:r>
            <w:r>
              <w:rPr>
                <w:rFonts w:hint="eastAsia" w:ascii="宋体" w:hAnsi="宋体" w:cs="宋体"/>
                <w:color w:val="auto"/>
                <w:szCs w:val="21"/>
                <w:highlight w:val="none"/>
              </w:rPr>
              <w:t>，包餐费用以签单形式支付，患者、家属及外来人员就餐以现金、微信等方式结算。</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需要支付的费用，当月的费用在下一个月下旬凭发票支付。</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83AD7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6BA13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E39C4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2BC3F9E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AB445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EB3521">
            <w:pPr>
              <w:spacing w:line="240" w:lineRule="auto"/>
              <w:jc w:val="both"/>
              <w:rPr>
                <w:rFonts w:hint="eastAsia" w:ascii="宋体" w:hAnsi="宋体"/>
                <w:b w:val="0"/>
                <w:bCs w:val="0"/>
                <w:color w:val="auto"/>
                <w:szCs w:val="21"/>
                <w:highlight w:val="none"/>
              </w:rPr>
            </w:pPr>
            <w:r>
              <w:rPr>
                <w:rFonts w:hint="eastAsia" w:ascii="宋体" w:hAnsi="宋体" w:cs="宋体"/>
                <w:color w:val="auto"/>
                <w:szCs w:val="21"/>
                <w:highlight w:val="none"/>
              </w:rPr>
              <w:t>送餐服务：应为患者及家属、医院值班员工、特殊需求的员工和患者及家属、特殊科室（手术室、ICU、新生儿、产房、介入室、胃肠镜室等）提供电话/微信订餐、上门订餐、APP订餐等多种方式，</w:t>
            </w:r>
            <w:r>
              <w:rPr>
                <w:rFonts w:hint="eastAsia" w:ascii="宋体" w:hAnsi="宋体" w:cs="宋体"/>
                <w:b/>
                <w:bCs/>
                <w:color w:val="auto"/>
                <w:szCs w:val="21"/>
                <w:highlight w:val="none"/>
                <w:lang w:val="en-US" w:eastAsia="zh-CN"/>
              </w:rPr>
              <w:t>外卖订餐时间为24小时开放，可自选送达时间，</w:t>
            </w:r>
            <w:r>
              <w:rPr>
                <w:rFonts w:hint="eastAsia" w:ascii="宋体" w:hAnsi="宋体" w:cs="宋体"/>
                <w:color w:val="auto"/>
                <w:szCs w:val="21"/>
                <w:highlight w:val="none"/>
              </w:rPr>
              <w:t>并提供送餐上门服务（上述特殊科室不另行收取配送费）及各类应急供餐服务</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要求送餐时间为45分钟内送达。</w:t>
            </w:r>
            <w:r>
              <w:rPr>
                <w:rFonts w:hint="eastAsia" w:ascii="宋体" w:hAnsi="宋体" w:cs="宋体"/>
                <w:color w:val="auto"/>
                <w:szCs w:val="21"/>
                <w:highlight w:val="none"/>
              </w:rPr>
              <w:t>有专人负责订餐工作，一日三餐上门订餐服务需在规定时间内由专人到科室。</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405CC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65210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31390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6F38D00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F55B5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5C4153">
            <w:pPr>
              <w:spacing w:line="240" w:lineRule="auto"/>
              <w:jc w:val="both"/>
              <w:rPr>
                <w:rFonts w:hint="eastAsia" w:ascii="宋体" w:hAnsi="宋体"/>
                <w:b w:val="0"/>
                <w:bCs w:val="0"/>
                <w:color w:val="auto"/>
                <w:szCs w:val="21"/>
                <w:highlight w:val="none"/>
              </w:rPr>
            </w:pPr>
            <w:r>
              <w:rPr>
                <w:rFonts w:hint="eastAsia" w:ascii="宋体" w:hAnsi="宋体" w:cs="宋体"/>
                <w:color w:val="auto"/>
                <w:kern w:val="2"/>
                <w:sz w:val="21"/>
                <w:szCs w:val="21"/>
                <w:highlight w:val="none"/>
                <w:lang w:val="en-US" w:eastAsia="zh-CN" w:bidi="ar-SA"/>
              </w:rPr>
              <w:t>中选服务商</w:t>
            </w:r>
            <w:r>
              <w:rPr>
                <w:rFonts w:hint="eastAsia" w:ascii="宋体" w:hAnsi="宋体" w:eastAsia="宋体" w:cs="宋体"/>
                <w:color w:val="auto"/>
                <w:kern w:val="2"/>
                <w:sz w:val="21"/>
                <w:szCs w:val="21"/>
                <w:highlight w:val="none"/>
                <w:lang w:val="en-US" w:eastAsia="zh-CN" w:bidi="ar-SA"/>
              </w:rPr>
              <w:t>应保证一日三餐正点、足量（每个品种应设定标准份量）、优质、新鲜、品种多样、价格合理，能适应不同口味的职工和患者及家属就餐。</w:t>
            </w:r>
            <w:r>
              <w:rPr>
                <w:rFonts w:hint="eastAsia" w:ascii="宋体" w:hAnsi="宋体" w:cs="宋体"/>
                <w:color w:val="auto"/>
                <w:kern w:val="2"/>
                <w:sz w:val="21"/>
                <w:szCs w:val="21"/>
                <w:highlight w:val="none"/>
                <w:lang w:val="en-US" w:eastAsia="zh-CN" w:bidi="ar-SA"/>
              </w:rPr>
              <w:t>中选服务商</w:t>
            </w:r>
            <w:r>
              <w:rPr>
                <w:rFonts w:hint="eastAsia" w:ascii="宋体" w:hAnsi="宋体" w:eastAsia="宋体" w:cs="宋体"/>
                <w:color w:val="auto"/>
                <w:kern w:val="2"/>
                <w:sz w:val="21"/>
                <w:szCs w:val="21"/>
                <w:highlight w:val="none"/>
                <w:lang w:val="en-US" w:eastAsia="zh-CN" w:bidi="ar-SA"/>
              </w:rPr>
              <w:t>供应的食物应能满足每天的用餐需求，在供餐时间不得出现食物供应不足的现象；严禁出售变质、变味以及剩饭菜。经营期间若收到餐品中出现异物</w:t>
            </w:r>
            <w:r>
              <w:rPr>
                <w:rFonts w:hint="eastAsia" w:ascii="宋体" w:hAnsi="宋体" w:cs="宋体"/>
                <w:color w:val="auto"/>
                <w:kern w:val="2"/>
                <w:sz w:val="21"/>
                <w:szCs w:val="21"/>
                <w:highlight w:val="none"/>
                <w:lang w:val="en-US" w:eastAsia="zh-CN" w:bidi="ar-SA"/>
              </w:rPr>
              <w:t>或出餐错误</w:t>
            </w:r>
            <w:r>
              <w:rPr>
                <w:rFonts w:hint="eastAsia" w:ascii="宋体" w:hAnsi="宋体" w:eastAsia="宋体" w:cs="宋体"/>
                <w:color w:val="auto"/>
                <w:kern w:val="2"/>
                <w:sz w:val="21"/>
                <w:szCs w:val="21"/>
                <w:highlight w:val="none"/>
                <w:lang w:val="en-US" w:eastAsia="zh-CN" w:bidi="ar-SA"/>
              </w:rPr>
              <w:t>的反馈，需退换餐品或补差价处理。</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26B44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886E4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0D636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1940DD3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DB90F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2A81584">
            <w:pPr>
              <w:spacing w:line="240" w:lineRule="auto"/>
              <w:jc w:val="both"/>
              <w:rPr>
                <w:rFonts w:hint="eastAsia" w:ascii="宋体" w:hAnsi="宋体"/>
                <w:b w:val="0"/>
                <w:bCs w:val="0"/>
                <w:color w:val="auto"/>
                <w:szCs w:val="21"/>
                <w:highlight w:val="none"/>
              </w:rPr>
            </w:pPr>
            <w:r>
              <w:rPr>
                <w:rFonts w:hint="eastAsia" w:ascii="宋体" w:hAnsi="宋体" w:cs="宋体"/>
                <w:color w:val="auto"/>
                <w:szCs w:val="21"/>
                <w:highlight w:val="none"/>
              </w:rPr>
              <w:t>每逢特殊节假日（护士节、</w:t>
            </w:r>
            <w:r>
              <w:rPr>
                <w:rFonts w:hint="eastAsia" w:ascii="宋体" w:hAnsi="宋体"/>
                <w:color w:val="auto"/>
                <w:szCs w:val="21"/>
                <w:highlight w:val="none"/>
                <w:lang w:val="zh-CN"/>
              </w:rPr>
              <w:t>医师节、</w:t>
            </w:r>
            <w:r>
              <w:rPr>
                <w:rFonts w:hint="eastAsia" w:ascii="宋体" w:hAnsi="宋体" w:cs="宋体"/>
                <w:color w:val="auto"/>
                <w:szCs w:val="21"/>
                <w:highlight w:val="none"/>
              </w:rPr>
              <w:t>中秋节、端午节等）</w:t>
            </w:r>
            <w:r>
              <w:rPr>
                <w:rFonts w:hint="eastAsia" w:ascii="宋体" w:hAnsi="宋体"/>
                <w:color w:val="auto"/>
                <w:szCs w:val="21"/>
                <w:highlight w:val="none"/>
                <w:lang w:val="zh-CN"/>
              </w:rPr>
              <w:t>对特定人群</w:t>
            </w:r>
            <w:r>
              <w:rPr>
                <w:rFonts w:hint="eastAsia" w:ascii="宋体" w:hAnsi="宋体" w:cs="宋体"/>
                <w:color w:val="auto"/>
                <w:szCs w:val="21"/>
                <w:highlight w:val="none"/>
              </w:rPr>
              <w:t>添加额外菜品</w:t>
            </w:r>
            <w:r>
              <w:rPr>
                <w:rFonts w:hint="eastAsia" w:ascii="宋体" w:hAnsi="宋体" w:cs="宋体"/>
                <w:color w:val="auto"/>
                <w:szCs w:val="21"/>
                <w:highlight w:val="none"/>
                <w:lang w:val="en-US" w:eastAsia="zh-CN"/>
              </w:rPr>
              <w:t>或水果</w:t>
            </w:r>
            <w:r>
              <w:rPr>
                <w:rFonts w:hint="eastAsia" w:ascii="宋体" w:hAnsi="宋体" w:cs="宋体"/>
                <w:color w:val="auto"/>
                <w:szCs w:val="21"/>
                <w:highlight w:val="none"/>
              </w:rPr>
              <w:t>（</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不再另行支付费用），给全体职工送上节日慰问及祝福。夏季应根据医院的需要协助制作凉茶、绿豆沙等各类特色食品供应。</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898FC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6B5EC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946F4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06A02CA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551BE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A64F0C">
            <w:pPr>
              <w:spacing w:line="240" w:lineRule="auto"/>
              <w:jc w:val="both"/>
              <w:rPr>
                <w:rFonts w:hint="eastAsia" w:ascii="宋体" w:hAnsi="宋体"/>
                <w:b w:val="0"/>
                <w:bCs w:val="0"/>
                <w:color w:val="auto"/>
                <w:szCs w:val="21"/>
                <w:highlight w:val="none"/>
              </w:rPr>
            </w:pPr>
            <w:r>
              <w:rPr>
                <w:rFonts w:hint="eastAsia" w:ascii="宋体" w:hAnsi="宋体" w:cs="宋体"/>
                <w:color w:val="auto"/>
                <w:szCs w:val="21"/>
                <w:highlight w:val="none"/>
                <w:lang w:val="en-US" w:eastAsia="zh-CN"/>
              </w:rPr>
              <w:t>特殊节假日</w:t>
            </w:r>
            <w:r>
              <w:rPr>
                <w:rFonts w:hint="eastAsia" w:ascii="宋体" w:hAnsi="宋体" w:cs="宋体"/>
                <w:color w:val="auto"/>
                <w:szCs w:val="21"/>
                <w:highlight w:val="none"/>
              </w:rPr>
              <w:t>（护士节、</w:t>
            </w:r>
            <w:r>
              <w:rPr>
                <w:rFonts w:hint="eastAsia" w:ascii="宋体" w:hAnsi="宋体"/>
                <w:color w:val="auto"/>
                <w:szCs w:val="21"/>
                <w:highlight w:val="none"/>
                <w:lang w:val="zh-CN"/>
              </w:rPr>
              <w:t>医师节、</w:t>
            </w:r>
            <w:r>
              <w:rPr>
                <w:rFonts w:hint="eastAsia" w:ascii="宋体" w:hAnsi="宋体" w:cs="宋体"/>
                <w:color w:val="auto"/>
                <w:szCs w:val="21"/>
                <w:highlight w:val="none"/>
              </w:rPr>
              <w:t>中秋节、端午节等）</w:t>
            </w:r>
            <w:r>
              <w:rPr>
                <w:rFonts w:hint="eastAsia" w:ascii="宋体" w:hAnsi="宋体" w:cs="宋体"/>
                <w:color w:val="auto"/>
                <w:szCs w:val="21"/>
                <w:highlight w:val="none"/>
                <w:lang w:val="en-US" w:eastAsia="zh-CN"/>
              </w:rPr>
              <w:t>，除上述第11点的节日慰问及祝福内容外，围绕职工可提供的活动（如：亲子活动、打折促销活动等）</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621C8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40CF8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E9C6B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0133920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C1D20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5AC6D8">
            <w:pPr>
              <w:spacing w:line="240" w:lineRule="auto"/>
              <w:jc w:val="both"/>
              <w:rPr>
                <w:rFonts w:hint="eastAsia" w:ascii="宋体" w:hAnsi="宋体"/>
                <w:b w:val="0"/>
                <w:bCs w:val="0"/>
                <w:color w:val="auto"/>
                <w:szCs w:val="21"/>
                <w:highlight w:val="none"/>
              </w:rPr>
            </w:pPr>
            <w:r>
              <w:rPr>
                <w:rFonts w:hint="eastAsia" w:ascii="宋体" w:hAnsi="宋体" w:cs="宋体"/>
                <w:color w:val="auto"/>
                <w:szCs w:val="21"/>
                <w:highlight w:val="none"/>
                <w:lang w:val="en-US" w:eastAsia="zh-CN"/>
              </w:rPr>
              <w:t>中选服务商可提供已粗加工的半成品新鲜食材（如：切配好的蔬菜、新鲜腌制的肉片、已发酵好的面包胚等）。</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AC7BC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1458D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F6605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1C8DA96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2E589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EDD43E">
            <w:pPr>
              <w:spacing w:line="240" w:lineRule="auto"/>
              <w:jc w:val="both"/>
              <w:rPr>
                <w:rFonts w:hint="eastAsia" w:ascii="宋体" w:hAnsi="宋体"/>
                <w:b w:val="0"/>
                <w:bCs w:val="0"/>
                <w:color w:val="auto"/>
                <w:szCs w:val="21"/>
                <w:highlight w:val="none"/>
              </w:rPr>
            </w:pPr>
            <w:r>
              <w:rPr>
                <w:rFonts w:hint="eastAsia" w:ascii="宋体" w:hAnsi="宋体" w:cs="宋体"/>
                <w:color w:val="auto"/>
                <w:szCs w:val="21"/>
                <w:highlight w:val="none"/>
                <w:lang w:val="en-US" w:eastAsia="zh-CN"/>
              </w:rPr>
              <w:t>除以上要求的内容，响应服务商可在遴选文件中提供额外增值服务。</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9F709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B0F33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4C794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869255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1092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E8AAF8">
            <w:pPr>
              <w:tabs>
                <w:tab w:val="left" w:pos="1050"/>
                <w:tab w:val="left" w:pos="1155"/>
              </w:tabs>
              <w:autoSpaceDE w:val="0"/>
              <w:autoSpaceDN w:val="0"/>
              <w:adjustRightInd w:val="0"/>
              <w:snapToGrid w:val="0"/>
              <w:spacing w:line="360" w:lineRule="auto"/>
              <w:textAlignment w:val="baseline"/>
              <w:rPr>
                <w:rStyle w:val="33"/>
                <w:rFonts w:hint="eastAsia" w:ascii="宋体" w:hAnsi="宋体" w:eastAsia="宋体" w:cs="宋体"/>
                <w:b w:val="0"/>
                <w:bCs w:val="0"/>
                <w:color w:val="auto"/>
                <w:kern w:val="2"/>
                <w:sz w:val="21"/>
                <w:szCs w:val="21"/>
                <w:lang w:val="zh-TW" w:eastAsia="zh-TW"/>
              </w:rPr>
            </w:pPr>
            <w:r>
              <w:rPr>
                <w:rFonts w:hint="eastAsia" w:ascii="宋体" w:hAnsi="宋体"/>
                <w:b/>
                <w:color w:val="auto"/>
                <w:szCs w:val="21"/>
                <w:highlight w:val="none"/>
                <w:lang w:val="en-US" w:eastAsia="zh-CN"/>
              </w:rPr>
              <w:t>四</w:t>
            </w:r>
            <w:r>
              <w:rPr>
                <w:rFonts w:hint="eastAsia" w:ascii="宋体" w:hAnsi="宋体"/>
                <w:b/>
                <w:color w:val="auto"/>
                <w:szCs w:val="21"/>
                <w:highlight w:val="none"/>
              </w:rPr>
              <w:t>、饮食质量要求</w:t>
            </w:r>
          </w:p>
        </w:tc>
      </w:tr>
      <w:tr w14:paraId="1925DFC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C335D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cs="宋体"/>
                <w:color w:val="auto"/>
                <w:szCs w:val="21"/>
                <w:highlight w:val="none"/>
                <w:lang w:val="en-US" w:eastAsia="zh-CN"/>
              </w:rPr>
            </w:pPr>
            <w:r>
              <w:rPr>
                <w:rFonts w:hint="eastAsia" w:ascii="宋体" w:hAnsi="宋体"/>
                <w:color w:val="auto"/>
                <w:szCs w:val="21"/>
                <w:highlight w:val="none"/>
              </w:rPr>
              <w:t xml:space="preserve"> </w:t>
            </w:r>
            <w:r>
              <w:rPr>
                <w:rFonts w:hint="eastAsia" w:ascii="宋体" w:hAnsi="宋体"/>
                <w:color w:val="auto"/>
                <w:kern w:val="28"/>
                <w:szCs w:val="21"/>
                <w:highlight w:val="none"/>
              </w:rPr>
              <w:t>▲</w:t>
            </w:r>
            <w:r>
              <w:rPr>
                <w:rFonts w:hint="eastAsia" w:ascii="宋体" w:hAnsi="宋体"/>
                <w:color w:val="auto"/>
                <w:szCs w:val="21"/>
                <w:highlight w:val="none"/>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CE5276">
            <w:pPr>
              <w:spacing w:line="240" w:lineRule="auto"/>
              <w:jc w:val="both"/>
              <w:rPr>
                <w:rFonts w:hint="eastAsia" w:ascii="宋体" w:hAnsi="宋体"/>
                <w:b w:val="0"/>
                <w:bCs w:val="0"/>
                <w:color w:val="auto"/>
                <w:szCs w:val="21"/>
                <w:highlight w:val="none"/>
              </w:rPr>
            </w:pPr>
            <w:r>
              <w:rPr>
                <w:rFonts w:hint="eastAsia" w:ascii="宋体" w:hAnsi="宋体"/>
                <w:color w:val="auto"/>
                <w:szCs w:val="21"/>
                <w:highlight w:val="none"/>
              </w:rPr>
              <w:t>所有的食品、副食品及配料等必须由正常渠道购进，确保食材安全、无农药、无添加、确保最佳产地、确保非转基因，</w:t>
            </w:r>
            <w:r>
              <w:rPr>
                <w:rFonts w:hint="eastAsia" w:ascii="宋体" w:hAnsi="宋体"/>
                <w:color w:val="auto"/>
                <w:szCs w:val="21"/>
                <w:highlight w:val="none"/>
                <w:lang w:eastAsia="zh-CN"/>
              </w:rPr>
              <w:t>中选服务商</w:t>
            </w:r>
            <w:r>
              <w:rPr>
                <w:rFonts w:hint="eastAsia" w:ascii="宋体" w:hAnsi="宋体"/>
                <w:color w:val="auto"/>
                <w:szCs w:val="21"/>
                <w:highlight w:val="none"/>
              </w:rPr>
              <w:t>在采购粮油、肉蛋类、禽类、鱼类、蔬菜类、副食品类、调味类、食品添加剂等原料和物品必须符合《中华人民共和国食品安全法》、《中华人民共和国动物</w:t>
            </w:r>
            <w:r>
              <w:rPr>
                <w:rFonts w:hint="eastAsia" w:ascii="宋体" w:hAnsi="宋体"/>
                <w:color w:val="auto"/>
                <w:szCs w:val="21"/>
                <w:highlight w:val="none"/>
                <w:lang w:val="en-US" w:eastAsia="zh-CN"/>
              </w:rPr>
              <w:t>防疫</w:t>
            </w:r>
            <w:r>
              <w:rPr>
                <w:rFonts w:hint="eastAsia" w:ascii="宋体" w:hAnsi="宋体"/>
                <w:color w:val="auto"/>
                <w:szCs w:val="21"/>
                <w:highlight w:val="none"/>
              </w:rPr>
              <w:t>法》等相关规定，符合卫生标准和营养要求。</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5682D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A6F20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D98E5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A367D2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15EAE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cs="宋体"/>
                <w:color w:val="auto"/>
                <w:szCs w:val="21"/>
                <w:highlight w:val="none"/>
                <w:lang w:val="en-US" w:eastAsia="zh-CN"/>
              </w:rPr>
            </w:pPr>
            <w:r>
              <w:rPr>
                <w:rFonts w:hint="eastAsia" w:ascii="宋体" w:hAnsi="宋体"/>
                <w:color w:val="auto"/>
                <w:kern w:val="28"/>
                <w:szCs w:val="21"/>
                <w:highlight w:val="none"/>
              </w:rPr>
              <w:t>▲</w:t>
            </w:r>
            <w:r>
              <w:rPr>
                <w:rFonts w:hint="eastAsia" w:ascii="宋体" w:hAnsi="宋体"/>
                <w:color w:val="auto"/>
                <w:szCs w:val="21"/>
                <w:highlight w:val="none"/>
              </w:rPr>
              <w:t>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151505">
            <w:pPr>
              <w:spacing w:line="240" w:lineRule="auto"/>
              <w:jc w:val="both"/>
              <w:rPr>
                <w:rFonts w:hint="eastAsia" w:ascii="宋体" w:hAnsi="宋体"/>
                <w:b w:val="0"/>
                <w:bCs w:val="0"/>
                <w:color w:val="auto"/>
                <w:szCs w:val="21"/>
                <w:highlight w:val="none"/>
              </w:rPr>
            </w:pPr>
            <w:r>
              <w:rPr>
                <w:rFonts w:hint="eastAsia" w:ascii="宋体" w:hAnsi="宋体"/>
                <w:color w:val="auto"/>
                <w:szCs w:val="21"/>
                <w:highlight w:val="none"/>
              </w:rPr>
              <w:t>设</w:t>
            </w:r>
            <w:r>
              <w:rPr>
                <w:rFonts w:hint="eastAsia" w:ascii="宋体" w:hAnsi="宋体"/>
                <w:bCs/>
                <w:color w:val="auto"/>
                <w:szCs w:val="21"/>
                <w:highlight w:val="none"/>
              </w:rPr>
              <w:t>有专职采购员,</w:t>
            </w:r>
            <w:r>
              <w:rPr>
                <w:rFonts w:hint="eastAsia" w:ascii="宋体" w:hAnsi="宋体"/>
                <w:color w:val="auto"/>
                <w:szCs w:val="21"/>
                <w:highlight w:val="none"/>
              </w:rPr>
              <w:t>每次采购，严格做好进货验收和索票索证工作，建立采购台账（必须专人规范填写）、索证验收台账、</w:t>
            </w:r>
            <w:r>
              <w:rPr>
                <w:rFonts w:hint="eastAsia" w:ascii="宋体" w:hAnsi="宋体"/>
                <w:color w:val="auto"/>
                <w:szCs w:val="21"/>
                <w:highlight w:val="none"/>
                <w:lang w:eastAsia="zh-CN"/>
              </w:rPr>
              <w:t>响应服务商</w:t>
            </w:r>
            <w:r>
              <w:rPr>
                <w:rFonts w:hint="eastAsia" w:ascii="宋体" w:hAnsi="宋体"/>
                <w:color w:val="auto"/>
                <w:szCs w:val="21"/>
                <w:highlight w:val="none"/>
              </w:rPr>
              <w:t>资质证明台账等，索取</w:t>
            </w:r>
            <w:r>
              <w:rPr>
                <w:rFonts w:hint="eastAsia" w:ascii="宋体" w:hAnsi="宋体"/>
                <w:color w:val="auto"/>
                <w:szCs w:val="21"/>
                <w:highlight w:val="none"/>
                <w:lang w:eastAsia="zh-CN"/>
              </w:rPr>
              <w:t>响应服务商</w:t>
            </w:r>
            <w:r>
              <w:rPr>
                <w:rFonts w:hint="eastAsia" w:ascii="宋体" w:hAnsi="宋体"/>
                <w:color w:val="auto"/>
                <w:szCs w:val="21"/>
                <w:highlight w:val="none"/>
              </w:rPr>
              <w:t>有效的资质、检验检测合格证明等文件，包括但不仅限于《营业执照》、《食品卫生许可证》、《产品质量检验报告》、《出厂检验报告》、《动物检疫合格证明》、《肉品品质检验合格证》、《送货清单》、《购货凭据》；饮料、乳制品、调味品等食品每批次的检验合格证或检验单；蔬菜等散装农副食品及鱼类等鲜活产品检验合格证明；一次性餐具检验合格证；清洁剂检验合格证明等。随时接受</w:t>
            </w:r>
            <w:r>
              <w:rPr>
                <w:rFonts w:hint="eastAsia" w:ascii="宋体" w:hAnsi="宋体"/>
                <w:color w:val="auto"/>
                <w:szCs w:val="21"/>
                <w:highlight w:val="none"/>
                <w:lang w:eastAsia="zh-CN"/>
              </w:rPr>
              <w:t>业主方</w:t>
            </w:r>
            <w:r>
              <w:rPr>
                <w:rFonts w:hint="eastAsia" w:ascii="宋体" w:hAnsi="宋体"/>
                <w:color w:val="auto"/>
                <w:szCs w:val="21"/>
                <w:highlight w:val="none"/>
              </w:rPr>
              <w:t>及上级部门的检查。</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C4896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080EC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5D2A8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262C6E2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B28EE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980055">
            <w:pPr>
              <w:spacing w:line="240" w:lineRule="auto"/>
              <w:jc w:val="both"/>
              <w:rPr>
                <w:rFonts w:hint="eastAsia" w:ascii="宋体" w:hAnsi="宋体"/>
                <w:b w:val="0"/>
                <w:bCs w:val="0"/>
                <w:color w:val="auto"/>
                <w:szCs w:val="21"/>
                <w:highlight w:val="none"/>
              </w:rPr>
            </w:pPr>
            <w:r>
              <w:rPr>
                <w:rFonts w:hint="eastAsia" w:ascii="宋体" w:hAnsi="宋体"/>
                <w:color w:val="auto"/>
                <w:szCs w:val="21"/>
                <w:highlight w:val="none"/>
              </w:rPr>
              <w:t>保证每天每餐的饮食质量、份量、菜式，做到食材新鲜、饭熟菜香，营养搭配科学合理，调配比例均匀，味道可口，保证营养。</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4FC7F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1444E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2410F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1796081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57900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cs="宋体"/>
                <w:color w:val="auto"/>
                <w:szCs w:val="21"/>
                <w:highlight w:val="none"/>
                <w:lang w:val="en-US" w:eastAsia="zh-CN"/>
              </w:rPr>
            </w:pPr>
            <w:r>
              <w:rPr>
                <w:rFonts w:hint="eastAsia" w:ascii="宋体" w:hAnsi="宋体"/>
                <w:color w:val="auto"/>
                <w:kern w:val="28"/>
                <w:szCs w:val="21"/>
                <w:highlight w:val="none"/>
              </w:rPr>
              <w:t>▲</w:t>
            </w:r>
            <w:r>
              <w:rPr>
                <w:rFonts w:hint="eastAsia" w:ascii="宋体" w:hAnsi="宋体"/>
                <w:color w:val="auto"/>
                <w:szCs w:val="21"/>
                <w:highlight w:val="none"/>
              </w:rPr>
              <w:t>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3CF05D">
            <w:pPr>
              <w:spacing w:line="240" w:lineRule="auto"/>
              <w:jc w:val="both"/>
              <w:rPr>
                <w:rFonts w:hint="eastAsia" w:ascii="宋体" w:hAnsi="宋体"/>
                <w:b w:val="0"/>
                <w:bCs w:val="0"/>
                <w:color w:val="auto"/>
                <w:szCs w:val="21"/>
                <w:highlight w:val="none"/>
              </w:rPr>
            </w:pPr>
            <w:r>
              <w:rPr>
                <w:rFonts w:hint="eastAsia" w:ascii="宋体" w:hAnsi="宋体"/>
                <w:color w:val="auto"/>
                <w:szCs w:val="21"/>
                <w:highlight w:val="none"/>
              </w:rPr>
              <w:t>设专门人员负责留样，每餐食品按相关规定的份量、时间、保存条件等做好留样工作。至少保存48小时，留样份量每样至少100克，在5℃以下冷藏专柜专放并按要求做好食品留样管理工作等，具体根据相关规定实施。</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AD00E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FCADF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3C065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03A620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A8B75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AF28D5">
            <w:pPr>
              <w:spacing w:line="240" w:lineRule="auto"/>
              <w:jc w:val="both"/>
              <w:rPr>
                <w:rFonts w:hint="eastAsia" w:ascii="宋体" w:hAnsi="宋体"/>
                <w:b w:val="0"/>
                <w:bCs w:val="0"/>
                <w:color w:val="auto"/>
                <w:szCs w:val="21"/>
                <w:highlight w:val="none"/>
              </w:rPr>
            </w:pPr>
            <w:r>
              <w:rPr>
                <w:rFonts w:hint="eastAsia" w:ascii="宋体" w:hAnsi="宋体"/>
                <w:color w:val="auto"/>
                <w:szCs w:val="21"/>
                <w:highlight w:val="none"/>
              </w:rPr>
              <w:t>从食品原材料入手，建立食品安全追溯体系。所有肉类、蔬菜类、粮油类等由具备供应资格、信誉良好的</w:t>
            </w:r>
            <w:r>
              <w:rPr>
                <w:rFonts w:hint="eastAsia" w:ascii="宋体" w:hAnsi="宋体"/>
                <w:color w:val="auto"/>
                <w:szCs w:val="21"/>
                <w:highlight w:val="none"/>
                <w:lang w:eastAsia="zh-CN"/>
              </w:rPr>
              <w:t>响应服务商</w:t>
            </w:r>
            <w:r>
              <w:rPr>
                <w:rFonts w:hint="eastAsia" w:ascii="宋体" w:hAnsi="宋体"/>
                <w:color w:val="auto"/>
                <w:szCs w:val="21"/>
                <w:highlight w:val="none"/>
              </w:rPr>
              <w:t>提供可追溯食品，不能采用散装原料，实行集中统一采购或分大类集中采购，采用无公害食品。</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应加入“中山市肉类蔬菜流通追溯体系”，并要确保食品原材料进货渠道正规，</w:t>
            </w:r>
            <w:r>
              <w:rPr>
                <w:rFonts w:hint="eastAsia" w:ascii="宋体" w:hAnsi="宋体" w:cs="宋体"/>
                <w:color w:val="auto"/>
                <w:szCs w:val="21"/>
                <w:highlight w:val="none"/>
                <w:lang w:val="en-US" w:eastAsia="zh-CN"/>
              </w:rPr>
              <w:t>服务商</w:t>
            </w:r>
            <w:r>
              <w:rPr>
                <w:rFonts w:hint="eastAsia" w:ascii="宋体" w:hAnsi="宋体" w:cs="宋体"/>
                <w:color w:val="auto"/>
                <w:szCs w:val="21"/>
                <w:highlight w:val="none"/>
              </w:rPr>
              <w:t>证件齐全。</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9535B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8F1B4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01A1C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7D52075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0E205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2D16D6">
            <w:pPr>
              <w:spacing w:line="240" w:lineRule="auto"/>
              <w:jc w:val="both"/>
              <w:rPr>
                <w:rFonts w:hint="eastAsia" w:ascii="宋体" w:hAnsi="宋体"/>
                <w:b w:val="0"/>
                <w:bCs w:val="0"/>
                <w:color w:val="auto"/>
                <w:szCs w:val="21"/>
                <w:highlight w:val="none"/>
              </w:rPr>
            </w:pPr>
            <w:r>
              <w:rPr>
                <w:rFonts w:hint="eastAsia" w:ascii="宋体" w:hAnsi="宋体"/>
                <w:color w:val="auto"/>
                <w:szCs w:val="21"/>
                <w:highlight w:val="none"/>
              </w:rPr>
              <w:t>所有食品</w:t>
            </w:r>
            <w:r>
              <w:rPr>
                <w:rFonts w:hint="eastAsia" w:ascii="宋体" w:hAnsi="宋体"/>
                <w:color w:val="auto"/>
                <w:szCs w:val="21"/>
                <w:highlight w:val="none"/>
                <w:lang w:eastAsia="zh-CN"/>
              </w:rPr>
              <w:t>响应服务商</w:t>
            </w:r>
            <w:r>
              <w:rPr>
                <w:rFonts w:hint="eastAsia" w:ascii="宋体" w:hAnsi="宋体"/>
                <w:color w:val="auto"/>
                <w:szCs w:val="21"/>
                <w:highlight w:val="none"/>
              </w:rPr>
              <w:t>须经</w:t>
            </w:r>
            <w:r>
              <w:rPr>
                <w:rFonts w:hint="eastAsia" w:ascii="宋体" w:hAnsi="宋体"/>
                <w:color w:val="auto"/>
                <w:szCs w:val="21"/>
                <w:highlight w:val="none"/>
                <w:lang w:eastAsia="zh-CN"/>
              </w:rPr>
              <w:t>业主方</w:t>
            </w:r>
            <w:r>
              <w:rPr>
                <w:rFonts w:hint="eastAsia" w:ascii="宋体" w:hAnsi="宋体"/>
                <w:color w:val="auto"/>
                <w:szCs w:val="21"/>
                <w:highlight w:val="none"/>
              </w:rPr>
              <w:t>审核同意，并接受</w:t>
            </w:r>
            <w:r>
              <w:rPr>
                <w:rFonts w:hint="eastAsia" w:ascii="宋体" w:hAnsi="宋体"/>
                <w:color w:val="auto"/>
                <w:szCs w:val="21"/>
                <w:highlight w:val="none"/>
                <w:lang w:eastAsia="zh-CN"/>
              </w:rPr>
              <w:t>业主方</w:t>
            </w:r>
            <w:r>
              <w:rPr>
                <w:rFonts w:hint="eastAsia" w:ascii="宋体" w:hAnsi="宋体"/>
                <w:color w:val="auto"/>
                <w:szCs w:val="21"/>
                <w:highlight w:val="none"/>
              </w:rPr>
              <w:t>监管，对服务、供货质量等不能达到</w:t>
            </w:r>
            <w:r>
              <w:rPr>
                <w:rFonts w:hint="eastAsia" w:ascii="宋体" w:hAnsi="宋体"/>
                <w:color w:val="auto"/>
                <w:szCs w:val="21"/>
                <w:highlight w:val="none"/>
                <w:lang w:eastAsia="zh-CN"/>
              </w:rPr>
              <w:t>业主方</w:t>
            </w:r>
            <w:r>
              <w:rPr>
                <w:rFonts w:hint="eastAsia" w:ascii="宋体" w:hAnsi="宋体"/>
                <w:color w:val="auto"/>
                <w:szCs w:val="21"/>
                <w:highlight w:val="none"/>
              </w:rPr>
              <w:t>要求的</w:t>
            </w:r>
            <w:r>
              <w:rPr>
                <w:rFonts w:hint="eastAsia" w:ascii="宋体" w:hAnsi="宋体"/>
                <w:color w:val="auto"/>
                <w:szCs w:val="21"/>
                <w:highlight w:val="none"/>
                <w:lang w:eastAsia="zh-CN"/>
              </w:rPr>
              <w:t>响应服务商</w:t>
            </w:r>
            <w:r>
              <w:rPr>
                <w:rFonts w:hint="eastAsia" w:ascii="宋体" w:hAnsi="宋体"/>
                <w:color w:val="auto"/>
                <w:szCs w:val="21"/>
                <w:highlight w:val="none"/>
              </w:rPr>
              <w:t>，</w:t>
            </w:r>
            <w:r>
              <w:rPr>
                <w:rFonts w:hint="eastAsia" w:ascii="宋体" w:hAnsi="宋体"/>
                <w:color w:val="auto"/>
                <w:szCs w:val="21"/>
                <w:highlight w:val="none"/>
                <w:lang w:eastAsia="zh-CN"/>
              </w:rPr>
              <w:t>业主方</w:t>
            </w:r>
            <w:r>
              <w:rPr>
                <w:rFonts w:hint="eastAsia" w:ascii="宋体" w:hAnsi="宋体"/>
                <w:color w:val="auto"/>
                <w:szCs w:val="21"/>
                <w:highlight w:val="none"/>
              </w:rPr>
              <w:t>有权提出更换，</w:t>
            </w:r>
            <w:r>
              <w:rPr>
                <w:rFonts w:hint="eastAsia" w:ascii="宋体" w:hAnsi="宋体"/>
                <w:color w:val="auto"/>
                <w:szCs w:val="21"/>
                <w:highlight w:val="none"/>
                <w:lang w:eastAsia="zh-CN"/>
              </w:rPr>
              <w:t>中选服务商</w:t>
            </w:r>
            <w:r>
              <w:rPr>
                <w:rFonts w:hint="eastAsia" w:ascii="宋体" w:hAnsi="宋体"/>
                <w:color w:val="auto"/>
                <w:szCs w:val="21"/>
                <w:highlight w:val="none"/>
              </w:rPr>
              <w:t>必须配合执行。</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5795E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3662A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D3073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2EDD34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A3748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B6D0C4">
            <w:pPr>
              <w:spacing w:line="240" w:lineRule="auto"/>
              <w:jc w:val="both"/>
              <w:rPr>
                <w:rFonts w:hint="eastAsia" w:ascii="宋体" w:hAnsi="宋体"/>
                <w:b w:val="0"/>
                <w:bCs w:val="0"/>
                <w:color w:val="auto"/>
                <w:szCs w:val="21"/>
                <w:highlight w:val="none"/>
              </w:rPr>
            </w:pPr>
            <w:r>
              <w:rPr>
                <w:rFonts w:hint="eastAsia" w:ascii="宋体" w:hAnsi="宋体"/>
                <w:color w:val="auto"/>
                <w:szCs w:val="21"/>
                <w:highlight w:val="none"/>
              </w:rPr>
              <w:t>设置食品安全信息公示栏，公示食品安全信息，员工健康信息（健康证等）、经营主体责任人、监管部门责任人及电话、微信服务综合满意度调查或意见箱等，接受员工监督。</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3B0DD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EDA1F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D9E6D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0979A9E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63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68D53C7">
            <w:pPr>
              <w:keepNext w:val="0"/>
              <w:keepLines w:val="0"/>
              <w:pageBreakBefore w:val="0"/>
              <w:widowControl w:val="0"/>
              <w:shd w:val="clear"/>
              <w:kinsoku/>
              <w:wordWrap/>
              <w:overflowPunct/>
              <w:topLinePunct w:val="0"/>
              <w:autoSpaceDE/>
              <w:autoSpaceDN/>
              <w:bidi w:val="0"/>
              <w:adjustRightInd/>
              <w:snapToGrid/>
              <w:spacing w:line="300" w:lineRule="auto"/>
              <w:jc w:val="left"/>
              <w:textAlignment w:val="auto"/>
              <w:rPr>
                <w:rFonts w:hint="eastAsia" w:ascii="宋体" w:hAnsi="宋体"/>
                <w:b w:val="0"/>
                <w:bCs w:val="0"/>
                <w:color w:val="auto"/>
                <w:szCs w:val="21"/>
                <w:highlight w:val="none"/>
              </w:rPr>
            </w:pPr>
            <w:r>
              <w:rPr>
                <w:rFonts w:hint="eastAsia" w:ascii="宋体" w:hAnsi="宋体" w:cs="宋体"/>
                <w:color w:val="auto"/>
                <w:szCs w:val="21"/>
                <w:highlight w:val="none"/>
                <w:lang w:val="en-US" w:eastAsia="zh-CN"/>
              </w:rPr>
              <w:t>8、</w:t>
            </w:r>
            <w:r>
              <w:rPr>
                <w:rFonts w:hint="eastAsia" w:ascii="宋体" w:hAnsi="宋体"/>
                <w:color w:val="auto"/>
                <w:szCs w:val="21"/>
                <w:highlight w:val="none"/>
                <w:lang w:eastAsia="zh-CN"/>
              </w:rPr>
              <w:t>业主方</w:t>
            </w:r>
            <w:r>
              <w:rPr>
                <w:rFonts w:hint="eastAsia" w:ascii="宋体" w:hAnsi="宋体"/>
                <w:color w:val="auto"/>
                <w:szCs w:val="21"/>
                <w:highlight w:val="none"/>
              </w:rPr>
              <w:t>有权指定食品品牌、质量，</w:t>
            </w:r>
            <w:r>
              <w:rPr>
                <w:rFonts w:hint="eastAsia" w:ascii="宋体" w:hAnsi="宋体"/>
                <w:color w:val="auto"/>
                <w:szCs w:val="21"/>
                <w:highlight w:val="none"/>
                <w:lang w:eastAsia="zh-CN"/>
              </w:rPr>
              <w:t>中选服务商</w:t>
            </w:r>
            <w:r>
              <w:rPr>
                <w:rFonts w:hint="eastAsia" w:ascii="宋体" w:hAnsi="宋体"/>
                <w:color w:val="auto"/>
                <w:szCs w:val="21"/>
                <w:highlight w:val="none"/>
              </w:rPr>
              <w:t xml:space="preserve">须无条件配合，部分重点食品要求如下： </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508C6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A9417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F1261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6C5B5DC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FE128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B585C5">
            <w:pPr>
              <w:spacing w:line="240" w:lineRule="auto"/>
              <w:jc w:val="both"/>
              <w:rPr>
                <w:rFonts w:hint="eastAsia" w:ascii="宋体" w:hAnsi="宋体"/>
                <w:b w:val="0"/>
                <w:bCs w:val="0"/>
                <w:color w:val="auto"/>
                <w:szCs w:val="21"/>
                <w:highlight w:val="none"/>
              </w:rPr>
            </w:pPr>
            <w:r>
              <w:rPr>
                <w:rFonts w:hint="eastAsia" w:ascii="宋体" w:hAnsi="宋体"/>
                <w:color w:val="auto"/>
                <w:szCs w:val="21"/>
                <w:highlight w:val="none"/>
              </w:rPr>
              <w:t>大米、面粉质量标准：</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C04B1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0A4FE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56CA9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42A450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12066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7ECAC0">
            <w:pPr>
              <w:spacing w:line="240" w:lineRule="auto"/>
              <w:jc w:val="both"/>
              <w:rPr>
                <w:rFonts w:hint="eastAsia" w:ascii="宋体" w:hAnsi="宋体"/>
                <w:b w:val="0"/>
                <w:bCs w:val="0"/>
                <w:color w:val="auto"/>
                <w:szCs w:val="21"/>
                <w:highlight w:val="none"/>
              </w:rPr>
            </w:pPr>
            <w:r>
              <w:rPr>
                <w:rFonts w:hint="eastAsia" w:ascii="宋体" w:hAnsi="宋体"/>
                <w:b w:val="0"/>
                <w:bCs w:val="0"/>
                <w:color w:val="auto"/>
                <w:szCs w:val="21"/>
                <w:highlight w:val="none"/>
              </w:rPr>
              <w:t>不得采购有“QS”标志，须采购具有新食品生产编号的产品。标明加工厂名称、品名、生产日期、保质期或保存期，供货时的剩余保质期不少于三分之二，质量等级、产品标准号、产品合格证，质量符合大米国家标准与国家粮食卫生标准。</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D37E3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0A818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52A69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58C41C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71FC1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27716A">
            <w:pPr>
              <w:spacing w:line="240" w:lineRule="auto"/>
              <w:jc w:val="both"/>
              <w:rPr>
                <w:rFonts w:hint="eastAsia" w:ascii="宋体" w:hAnsi="宋体"/>
                <w:b w:val="0"/>
                <w:bCs w:val="0"/>
                <w:color w:val="auto"/>
                <w:szCs w:val="21"/>
                <w:highlight w:val="none"/>
              </w:rPr>
            </w:pPr>
            <w:r>
              <w:rPr>
                <w:rFonts w:hint="eastAsia" w:ascii="宋体" w:hAnsi="宋体"/>
                <w:color w:val="auto"/>
                <w:szCs w:val="21"/>
                <w:highlight w:val="none"/>
              </w:rPr>
              <w:t>具有固有色泽和香味，无污染、无虫害，色泽、气味、口味正常，无异味或霉味（霉变），无虫蛀结块挂丝或杂质异物等。面粉类要新鲜、色泽呈现乳白色或微黄色、手感细腻、颗粒均匀，自然浓厚的麦香味，手抓后自然流出，松开手不成团，用它制成的成品和馒头有麦香味、香甜入口不粘牙，符合国家食品卫生标准。</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42062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38DCE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38166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108222F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05080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cs="宋体"/>
                <w:color w:val="auto"/>
                <w:szCs w:val="21"/>
                <w:highlight w:val="none"/>
                <w:lang w:val="en-US" w:eastAsia="zh-CN"/>
              </w:rPr>
            </w:pPr>
            <w:r>
              <w:rPr>
                <w:rFonts w:hint="eastAsia" w:ascii="宋体" w:hAnsi="宋体"/>
                <w:color w:val="auto"/>
                <w:kern w:val="28"/>
                <w:szCs w:val="21"/>
                <w:highlight w:val="none"/>
              </w:rPr>
              <w:t>▲</w:t>
            </w:r>
            <w:r>
              <w:rPr>
                <w:rFonts w:hint="eastAsia" w:ascii="宋体" w:hAnsi="宋体"/>
                <w:color w:val="auto"/>
                <w:szCs w:val="21"/>
                <w:highlight w:val="none"/>
              </w:rPr>
              <w:t>（3）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039483">
            <w:pPr>
              <w:spacing w:line="240" w:lineRule="auto"/>
              <w:jc w:val="both"/>
              <w:rPr>
                <w:rFonts w:hint="eastAsia" w:ascii="宋体" w:hAnsi="宋体"/>
                <w:b w:val="0"/>
                <w:bCs w:val="0"/>
                <w:color w:val="auto"/>
                <w:szCs w:val="21"/>
                <w:highlight w:val="none"/>
              </w:rPr>
            </w:pPr>
            <w:r>
              <w:rPr>
                <w:rFonts w:hint="eastAsia" w:ascii="宋体" w:hAnsi="宋体"/>
                <w:color w:val="auto"/>
                <w:szCs w:val="21"/>
                <w:highlight w:val="none"/>
              </w:rPr>
              <w:t>粮食品牌参照标准：中粮、中储粮、益海嘉里集团等产品。</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20282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C9036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8B06F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06FEC9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5E95C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cs="宋体"/>
                <w:color w:val="auto"/>
                <w:szCs w:val="21"/>
                <w:highlight w:val="none"/>
                <w:lang w:val="en-US" w:eastAsia="zh-CN"/>
              </w:rPr>
            </w:pPr>
            <w:r>
              <w:rPr>
                <w:rFonts w:hint="eastAsia" w:ascii="宋体" w:hAnsi="宋体"/>
                <w:color w:val="auto"/>
                <w:szCs w:val="21"/>
                <w:highlight w:val="none"/>
              </w:rPr>
              <w:t>8.2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571954">
            <w:pPr>
              <w:spacing w:line="240" w:lineRule="auto"/>
              <w:jc w:val="both"/>
              <w:rPr>
                <w:rFonts w:hint="eastAsia" w:ascii="宋体" w:hAnsi="宋体"/>
                <w:color w:val="auto"/>
                <w:szCs w:val="21"/>
                <w:highlight w:val="none"/>
              </w:rPr>
            </w:pPr>
            <w:r>
              <w:rPr>
                <w:rFonts w:hint="eastAsia" w:ascii="宋体" w:hAnsi="宋体"/>
                <w:color w:val="auto"/>
                <w:szCs w:val="21"/>
                <w:highlight w:val="none"/>
              </w:rPr>
              <w:t xml:space="preserve"> 食用油、酱油：</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D7F27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D1886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927C7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4DE1543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27E77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E2A049">
            <w:pPr>
              <w:spacing w:line="240" w:lineRule="auto"/>
              <w:jc w:val="both"/>
              <w:rPr>
                <w:rFonts w:hint="eastAsia" w:ascii="宋体" w:hAnsi="宋体"/>
                <w:color w:val="auto"/>
                <w:szCs w:val="21"/>
                <w:highlight w:val="none"/>
              </w:rPr>
            </w:pPr>
            <w:r>
              <w:rPr>
                <w:rFonts w:hint="eastAsia" w:ascii="宋体" w:hAnsi="宋体"/>
                <w:color w:val="auto"/>
                <w:szCs w:val="21"/>
                <w:highlight w:val="none"/>
                <w:lang w:val="en-US" w:eastAsia="zh-CN"/>
              </w:rPr>
              <w:t>不得</w:t>
            </w:r>
            <w:r>
              <w:rPr>
                <w:rFonts w:hint="eastAsia" w:ascii="宋体" w:hAnsi="宋体"/>
                <w:color w:val="auto"/>
                <w:szCs w:val="21"/>
                <w:highlight w:val="none"/>
              </w:rPr>
              <w:t>采购有“</w:t>
            </w:r>
            <w:r>
              <w:rPr>
                <w:rFonts w:ascii="宋体" w:hAnsi="宋体"/>
                <w:color w:val="auto"/>
                <w:szCs w:val="21"/>
                <w:highlight w:val="none"/>
              </w:rPr>
              <w:t>QS</w:t>
            </w:r>
            <w:r>
              <w:rPr>
                <w:rFonts w:hint="eastAsia" w:ascii="宋体" w:hAnsi="宋体"/>
                <w:color w:val="auto"/>
                <w:szCs w:val="21"/>
                <w:highlight w:val="none"/>
              </w:rPr>
              <w:t>”标志，须采购具有新食品生产编号的产品。外包装完好，标明品名、厂名、重量、生产日期、保质期或保存期、执行标准等，剩余保质期不少于三</w:t>
            </w:r>
            <w:r>
              <w:rPr>
                <w:rFonts w:hint="eastAsia" w:ascii="宋体" w:hAnsi="宋体"/>
                <w:color w:val="auto"/>
                <w:szCs w:val="21"/>
                <w:highlight w:val="none"/>
                <w:lang w:eastAsia="zh-CN"/>
              </w:rPr>
              <w:t>分之</w:t>
            </w:r>
            <w:r>
              <w:rPr>
                <w:rFonts w:hint="eastAsia" w:ascii="宋体" w:hAnsi="宋体"/>
                <w:color w:val="auto"/>
                <w:szCs w:val="21"/>
                <w:highlight w:val="none"/>
              </w:rPr>
              <w:t>二，具有产品合格证。</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BCD67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05519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9F89D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BC2BB6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A09D0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63DFFC5">
            <w:pPr>
              <w:spacing w:line="240" w:lineRule="auto"/>
              <w:jc w:val="both"/>
              <w:rPr>
                <w:rFonts w:hint="eastAsia" w:ascii="宋体" w:hAnsi="宋体"/>
                <w:color w:val="auto"/>
                <w:szCs w:val="21"/>
                <w:highlight w:val="none"/>
              </w:rPr>
            </w:pPr>
            <w:r>
              <w:rPr>
                <w:rFonts w:hint="eastAsia" w:ascii="宋体" w:hAnsi="宋体"/>
                <w:color w:val="auto"/>
                <w:szCs w:val="21"/>
                <w:highlight w:val="none"/>
              </w:rPr>
              <w:t xml:space="preserve">必须提供进货渠道及提供当地食品卫生监督部门抽样检测报告。 </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61E98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041BF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A2E51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E057D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5C677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cs="宋体"/>
                <w:color w:val="auto"/>
                <w:szCs w:val="21"/>
                <w:highlight w:val="none"/>
                <w:lang w:val="en-US" w:eastAsia="zh-CN"/>
              </w:rPr>
            </w:pPr>
            <w:r>
              <w:rPr>
                <w:rFonts w:hint="eastAsia" w:ascii="宋体" w:hAnsi="宋体"/>
                <w:color w:val="auto"/>
                <w:kern w:val="28"/>
                <w:szCs w:val="21"/>
                <w:highlight w:val="none"/>
              </w:rPr>
              <w:t>▲</w:t>
            </w:r>
            <w:r>
              <w:rPr>
                <w:rFonts w:hint="eastAsia" w:ascii="宋体" w:hAnsi="宋体"/>
                <w:color w:val="auto"/>
                <w:szCs w:val="21"/>
                <w:highlight w:val="none"/>
              </w:rPr>
              <w:t>（3）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CA870A">
            <w:pPr>
              <w:spacing w:line="240" w:lineRule="auto"/>
              <w:jc w:val="both"/>
              <w:rPr>
                <w:rFonts w:hint="eastAsia" w:ascii="宋体" w:hAnsi="宋体"/>
                <w:color w:val="auto"/>
                <w:szCs w:val="21"/>
                <w:highlight w:val="none"/>
              </w:rPr>
            </w:pPr>
            <w:r>
              <w:rPr>
                <w:rFonts w:hint="eastAsia" w:ascii="宋体" w:hAnsi="宋体"/>
                <w:color w:val="auto"/>
                <w:szCs w:val="21"/>
                <w:highlight w:val="none"/>
              </w:rPr>
              <w:t>食油品牌参照标准：中粮、金龙鱼、鲁花等；调味类品牌参照标准：海天、李锦记、东古等。</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80D84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6629E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ED5DA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8F1A4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CEEB0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cs="宋体"/>
                <w:color w:val="auto"/>
                <w:szCs w:val="21"/>
                <w:highlight w:val="none"/>
                <w:lang w:val="en-US" w:eastAsia="zh-CN"/>
              </w:rPr>
            </w:pPr>
            <w:r>
              <w:rPr>
                <w:rFonts w:hint="eastAsia" w:ascii="宋体" w:hAnsi="宋体"/>
                <w:color w:val="auto"/>
                <w:kern w:val="28"/>
                <w:szCs w:val="21"/>
                <w:highlight w:val="none"/>
              </w:rPr>
              <w:t>▲</w:t>
            </w:r>
            <w:r>
              <w:rPr>
                <w:rFonts w:hint="eastAsia" w:ascii="宋体" w:hAnsi="宋体"/>
                <w:color w:val="auto"/>
                <w:szCs w:val="21"/>
                <w:highlight w:val="none"/>
              </w:rPr>
              <w:t>8.3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BC567B">
            <w:pPr>
              <w:spacing w:line="240" w:lineRule="auto"/>
              <w:jc w:val="both"/>
              <w:rPr>
                <w:rFonts w:hint="eastAsia" w:ascii="宋体" w:hAnsi="宋体"/>
                <w:color w:val="auto"/>
                <w:szCs w:val="21"/>
                <w:highlight w:val="none"/>
              </w:rPr>
            </w:pPr>
            <w:r>
              <w:rPr>
                <w:rFonts w:hint="eastAsia" w:ascii="宋体" w:hAnsi="宋体"/>
                <w:color w:val="auto"/>
                <w:szCs w:val="21"/>
                <w:highlight w:val="none"/>
              </w:rPr>
              <w:t>调味料：味精、鸡精、鸡粉等建议不用或尽量少用。</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06BF5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B666C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8D8F2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6940CBA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569CE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D56F61">
            <w:pPr>
              <w:spacing w:line="240" w:lineRule="auto"/>
              <w:jc w:val="both"/>
              <w:rPr>
                <w:rFonts w:hint="eastAsia" w:ascii="宋体" w:hAnsi="宋体"/>
                <w:color w:val="auto"/>
                <w:szCs w:val="21"/>
                <w:highlight w:val="none"/>
              </w:rPr>
            </w:pPr>
            <w:r>
              <w:rPr>
                <w:rFonts w:hint="eastAsia" w:ascii="宋体" w:hAnsi="宋体"/>
                <w:color w:val="auto"/>
                <w:szCs w:val="21"/>
                <w:highlight w:val="none"/>
              </w:rPr>
              <w:t>食盐：符合食品安全卫生标准及营养要求。</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EE460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66EAD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DE29C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6903250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FC0A5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5AC949">
            <w:pPr>
              <w:spacing w:line="240" w:lineRule="auto"/>
              <w:jc w:val="both"/>
              <w:rPr>
                <w:rFonts w:hint="eastAsia" w:ascii="宋体" w:hAnsi="宋体"/>
                <w:color w:val="auto"/>
                <w:szCs w:val="21"/>
                <w:highlight w:val="none"/>
              </w:rPr>
            </w:pPr>
            <w:r>
              <w:rPr>
                <w:rFonts w:hint="eastAsia" w:ascii="宋体" w:hAnsi="宋体"/>
                <w:color w:val="auto"/>
                <w:szCs w:val="21"/>
                <w:highlight w:val="none"/>
              </w:rPr>
              <w:t>肉类：生鲜肉类经过屠宰卫生检疫</w:t>
            </w:r>
            <w:r>
              <w:rPr>
                <w:rFonts w:hint="eastAsia" w:ascii="宋体" w:hAnsi="宋体" w:cs="宋体"/>
                <w:color w:val="auto"/>
                <w:szCs w:val="21"/>
                <w:highlight w:val="none"/>
              </w:rPr>
              <w:t>，符合国家食品部门的有关标准，肉类保证来源于正规肉联厂，供货时提交肉联厂的验收单及当批次有效的动物检疫合格证复印件（原件备查）和分割肉凭证，鲜肉确保每日新鲜、无异味</w:t>
            </w:r>
            <w:r>
              <w:rPr>
                <w:rFonts w:hint="eastAsia" w:ascii="宋体" w:hAnsi="宋体"/>
                <w:color w:val="auto"/>
                <w:szCs w:val="21"/>
                <w:highlight w:val="none"/>
              </w:rPr>
              <w:t>及</w:t>
            </w:r>
            <w:r>
              <w:rPr>
                <w:rFonts w:hint="eastAsia" w:ascii="宋体" w:hAnsi="宋体" w:cs="宋体"/>
                <w:color w:val="auto"/>
                <w:szCs w:val="21"/>
                <w:highlight w:val="none"/>
              </w:rPr>
              <w:t>变质</w:t>
            </w:r>
            <w:r>
              <w:rPr>
                <w:rFonts w:hint="eastAsia" w:ascii="宋体" w:hAnsi="宋体"/>
                <w:color w:val="auto"/>
                <w:szCs w:val="21"/>
                <w:highlight w:val="none"/>
              </w:rPr>
              <w:t>。肉色根据种类的不同而呈现其特有的颜色，如猪肉鲜红色、牛羊肉深红色、鸡肉淡红色、鸭肉深红色等，且都有光泽、富有弹性，闻起来没有异味者（不得采购冷冻生肉僵尸肉）。肉制品包装完整，有完整标识，标明品名、内容物名称，重量或数量、食品添加物、制造厂商名称、地址、保存期限或保存条件、进品的还应加注进品商名称、地址等信息。保证鱼肉类每天新鲜购入及配送。</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00267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DB4C0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B743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6503CA2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373CF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8.6</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14272E">
            <w:pPr>
              <w:spacing w:line="240" w:lineRule="auto"/>
              <w:jc w:val="both"/>
              <w:rPr>
                <w:rFonts w:hint="eastAsia" w:ascii="宋体" w:hAnsi="宋体"/>
                <w:color w:val="auto"/>
                <w:szCs w:val="21"/>
                <w:highlight w:val="none"/>
              </w:rPr>
            </w:pPr>
            <w:r>
              <w:rPr>
                <w:rFonts w:hint="eastAsia" w:ascii="宋体" w:hAnsi="宋体"/>
                <w:color w:val="auto"/>
                <w:szCs w:val="21"/>
                <w:highlight w:val="none"/>
              </w:rPr>
              <w:t>蔬菜：蔬菜形态饱满、色泽新鲜、无腐烂变质、无泥沙、无老梗、无老叶及无农药超标等情况。</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BF6CA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D5AA4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7F227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6EDC09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DE8E7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8.7</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48BBE4">
            <w:pPr>
              <w:spacing w:line="240" w:lineRule="auto"/>
              <w:jc w:val="both"/>
              <w:rPr>
                <w:rFonts w:hint="eastAsia" w:ascii="宋体" w:hAnsi="宋体"/>
                <w:color w:val="auto"/>
                <w:szCs w:val="21"/>
                <w:highlight w:val="none"/>
              </w:rPr>
            </w:pPr>
            <w:r>
              <w:rPr>
                <w:rFonts w:hint="eastAsia" w:ascii="宋体" w:hAnsi="宋体"/>
                <w:color w:val="auto"/>
                <w:szCs w:val="21"/>
                <w:highlight w:val="none"/>
              </w:rPr>
              <w:t>干货：保持其固有的鲜美味道，有干货的本味。动物类、植物类、菌类、藻类，能从味觉上分辨新鲜及优品；干爽没有霉迹；色泽鲜明，没有虫蛀与杂质。</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A34E7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6D8BC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48FED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F7519B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819FE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8.8</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3BD8BD">
            <w:pPr>
              <w:spacing w:line="240" w:lineRule="auto"/>
              <w:jc w:val="both"/>
              <w:rPr>
                <w:rFonts w:hint="eastAsia" w:ascii="宋体" w:hAnsi="宋体"/>
                <w:color w:val="auto"/>
                <w:szCs w:val="21"/>
                <w:highlight w:val="none"/>
              </w:rPr>
            </w:pPr>
            <w:r>
              <w:rPr>
                <w:rFonts w:hint="eastAsia" w:ascii="宋体" w:hAnsi="宋体"/>
                <w:color w:val="auto"/>
                <w:szCs w:val="21"/>
                <w:highlight w:val="none"/>
                <w:lang w:val="en-US" w:eastAsia="zh-CN"/>
              </w:rPr>
              <w:t>猪、牛肉类、家禽类，肉制品，水产品须按照《中华人民共和国食品安全法》的要求提供食品生产许可证、检疫合格证明、产品合格证等资料。蔬菜类需要根据《中华人民共和国农产品质量安全法》等相关法律法规，产品必须符合安全卫生标准，蔬菜中污染物残留量、农药的最大残留限量以及其他有害物质含量都必须控制在国家规定的范围内。</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5B4AC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A32F8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B72B6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4AE54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668FB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DB7F45">
            <w:pPr>
              <w:pStyle w:val="7"/>
              <w:keepNext w:val="0"/>
              <w:keepLines w:val="0"/>
              <w:pageBreakBefore w:val="0"/>
              <w:widowControl w:val="0"/>
              <w:kinsoku/>
              <w:wordWrap/>
              <w:overflowPunct/>
              <w:topLinePunct w:val="0"/>
              <w:autoSpaceDE/>
              <w:autoSpaceDN/>
              <w:bidi w:val="0"/>
              <w:adjustRightInd/>
              <w:snapToGrid/>
              <w:spacing w:after="0"/>
              <w:jc w:val="center"/>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val="en-US" w:eastAsia="zh-CN"/>
              </w:rPr>
              <w:t>生产（供应）企业资质证明（首次供应时提供）</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4272"/>
            </w:tblGrid>
            <w:tr w14:paraId="1D667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67" w:type="dxa"/>
                  <w:vAlign w:val="center"/>
                </w:tcPr>
                <w:p w14:paraId="306C3D8C">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类别</w:t>
                  </w:r>
                </w:p>
              </w:tc>
              <w:tc>
                <w:tcPr>
                  <w:tcW w:w="4272" w:type="dxa"/>
                  <w:vAlign w:val="center"/>
                </w:tcPr>
                <w:p w14:paraId="142D9466">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资质证明</w:t>
                  </w:r>
                </w:p>
              </w:tc>
            </w:tr>
            <w:tr w14:paraId="190A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67" w:type="dxa"/>
                  <w:vAlign w:val="center"/>
                </w:tcPr>
                <w:p w14:paraId="3DFE0FF1">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畜禽冻肉类</w:t>
                  </w:r>
                </w:p>
              </w:tc>
              <w:tc>
                <w:tcPr>
                  <w:tcW w:w="4272" w:type="dxa"/>
                  <w:vAlign w:val="center"/>
                </w:tcPr>
                <w:p w14:paraId="3D5EA55E">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企业法人营业执照》、《动物防疫合格证》、《食品生产许可证》或《食品经营许可证》或含同类意思表述证书。如响应服务商的许可证书与营业执照合并办理的，提供扫描营业执照二维码后的有效备案信息截图。</w:t>
                  </w:r>
                </w:p>
              </w:tc>
            </w:tr>
            <w:tr w14:paraId="7FE1F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967" w:type="dxa"/>
                  <w:vAlign w:val="center"/>
                </w:tcPr>
                <w:p w14:paraId="33B55C2F">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肉制品</w:t>
                  </w:r>
                </w:p>
              </w:tc>
              <w:tc>
                <w:tcPr>
                  <w:tcW w:w="4272" w:type="dxa"/>
                  <w:vAlign w:val="center"/>
                </w:tcPr>
                <w:p w14:paraId="76DB4631">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《企业法人营业执照》、《食品生产许可证》或《食品经营许可证》或含同类意思表述证书。如响应服务商的许可证书与营业执照</w:t>
                  </w:r>
                </w:p>
                <w:p w14:paraId="63DC75B6">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合并办理的，提供扫描营业执照二维码后的有效备案信息截图。</w:t>
                  </w:r>
                </w:p>
              </w:tc>
            </w:tr>
            <w:tr w14:paraId="0A09B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967" w:type="dxa"/>
                  <w:vAlign w:val="center"/>
                </w:tcPr>
                <w:p w14:paraId="1836AE23">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水产品</w:t>
                  </w:r>
                </w:p>
              </w:tc>
              <w:tc>
                <w:tcPr>
                  <w:tcW w:w="4272" w:type="dxa"/>
                  <w:vAlign w:val="center"/>
                </w:tcPr>
                <w:p w14:paraId="48C7442A">
                  <w:pPr>
                    <w:pStyle w:val="8"/>
                    <w:keepNext w:val="0"/>
                    <w:keepLines w:val="0"/>
                    <w:pageBreakBefore w:val="0"/>
                    <w:widowControl w:val="0"/>
                    <w:kinsoku/>
                    <w:wordWrap/>
                    <w:overflowPunct/>
                    <w:topLinePunct w:val="0"/>
                    <w:autoSpaceDE/>
                    <w:autoSpaceDN/>
                    <w:bidi w:val="0"/>
                    <w:adjustRightInd/>
                    <w:snapToGrid/>
                    <w:ind w:left="0"/>
                    <w:jc w:val="center"/>
                    <w:textAlignment w:val="auto"/>
                    <w:rPr>
                      <w:rFonts w:hint="eastAsia" w:ascii="宋体" w:hAnsi="宋体" w:eastAsia="宋体" w:cs="宋体"/>
                      <w:color w:val="auto"/>
                      <w:sz w:val="21"/>
                      <w:szCs w:val="21"/>
                      <w:highlight w:val="none"/>
                      <w:vertAlign w:val="baseline"/>
                      <w:lang w:val="en-US" w:eastAsia="zh-CN"/>
                    </w:rPr>
                  </w:pPr>
                  <w:r>
                    <w:rPr>
                      <w:rFonts w:hint="eastAsia" w:ascii="宋体" w:hAnsi="宋体" w:cs="宋体"/>
                      <w:color w:val="auto"/>
                      <w:sz w:val="21"/>
                      <w:szCs w:val="21"/>
                      <w:highlight w:val="none"/>
                      <w:vertAlign w:val="baseline"/>
                      <w:lang w:val="en-US" w:eastAsia="zh-CN"/>
                    </w:rPr>
                    <w:t>《企业法人营业执照》</w:t>
                  </w:r>
                </w:p>
              </w:tc>
            </w:tr>
          </w:tbl>
          <w:p w14:paraId="56F142A0">
            <w:pPr>
              <w:spacing w:line="240" w:lineRule="auto"/>
              <w:jc w:val="both"/>
              <w:rPr>
                <w:rFonts w:hint="eastAsia" w:ascii="宋体" w:hAnsi="宋体"/>
                <w:color w:val="auto"/>
                <w:szCs w:val="21"/>
                <w:highlight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73650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A7EDA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3F348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719BEB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1E4AE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50FC8D">
            <w:pPr>
              <w:pStyle w:val="8"/>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jc w:val="center"/>
              <w:textAlignment w:val="auto"/>
              <w:rPr>
                <w:rFonts w:hint="eastAsia"/>
                <w:color w:val="auto"/>
                <w:highlight w:val="none"/>
                <w:lang w:val="en-US" w:eastAsia="zh-CN"/>
              </w:rPr>
            </w:pPr>
            <w:r>
              <w:rPr>
                <w:rFonts w:hint="eastAsia" w:ascii="宋体" w:hAnsi="宋体" w:eastAsia="宋体" w:cs="Times New Roman"/>
                <w:color w:val="auto"/>
                <w:kern w:val="0"/>
                <w:sz w:val="21"/>
                <w:szCs w:val="21"/>
                <w:highlight w:val="none"/>
                <w:lang w:val="en-US" w:eastAsia="zh-CN" w:bidi="ar-SA"/>
              </w:rPr>
              <w:t>新鲜肉类票证要求</w:t>
            </w:r>
          </w:p>
          <w:tbl>
            <w:tblPr>
              <w:tblStyle w:val="22"/>
              <w:tblW w:w="5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928"/>
              <w:gridCol w:w="2646"/>
            </w:tblGrid>
            <w:tr w14:paraId="3CFE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805" w:type="dxa"/>
                  <w:vAlign w:val="center"/>
                </w:tcPr>
                <w:p w14:paraId="07020526">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货物类别</w:t>
                  </w:r>
                </w:p>
              </w:tc>
              <w:tc>
                <w:tcPr>
                  <w:tcW w:w="1928" w:type="dxa"/>
                  <w:vAlign w:val="center"/>
                </w:tcPr>
                <w:p w14:paraId="585E77D9">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产品票证名称</w:t>
                  </w:r>
                </w:p>
              </w:tc>
              <w:tc>
                <w:tcPr>
                  <w:tcW w:w="2646" w:type="dxa"/>
                  <w:vAlign w:val="center"/>
                </w:tcPr>
                <w:p w14:paraId="0ADE3EB2">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验收索证要求</w:t>
                  </w:r>
                </w:p>
              </w:tc>
            </w:tr>
            <w:tr w14:paraId="1D50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05" w:type="dxa"/>
                  <w:vMerge w:val="restart"/>
                  <w:vAlign w:val="center"/>
                </w:tcPr>
                <w:p w14:paraId="30AB8599">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猪肉类</w:t>
                  </w:r>
                </w:p>
              </w:tc>
              <w:tc>
                <w:tcPr>
                  <w:tcW w:w="1928" w:type="dxa"/>
                  <w:vAlign w:val="center"/>
                </w:tcPr>
                <w:p w14:paraId="098AB190">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《动物产品检疫合格证》</w:t>
                  </w:r>
                </w:p>
              </w:tc>
              <w:tc>
                <w:tcPr>
                  <w:tcW w:w="2646" w:type="dxa"/>
                  <w:vAlign w:val="center"/>
                </w:tcPr>
                <w:p w14:paraId="49CB0AED">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要求有生产名称、地址、产品名称、产地和目的地，官方兽医签字、盖检验检疫专用章。</w:t>
                  </w:r>
                </w:p>
              </w:tc>
            </w:tr>
            <w:tr w14:paraId="71B2C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05" w:type="dxa"/>
                  <w:vMerge w:val="continue"/>
                  <w:vAlign w:val="center"/>
                </w:tcPr>
                <w:p w14:paraId="56B3FA49">
                  <w:pPr>
                    <w:numPr>
                      <w:ilvl w:val="0"/>
                      <w:numId w:val="0"/>
                    </w:numPr>
                    <w:jc w:val="center"/>
                    <w:rPr>
                      <w:rFonts w:hint="default"/>
                      <w:color w:val="auto"/>
                      <w:highlight w:val="none"/>
                      <w:vertAlign w:val="baseline"/>
                      <w:lang w:val="en-US" w:eastAsia="zh-CN"/>
                    </w:rPr>
                  </w:pPr>
                </w:p>
              </w:tc>
              <w:tc>
                <w:tcPr>
                  <w:tcW w:w="1928" w:type="dxa"/>
                  <w:vAlign w:val="center"/>
                </w:tcPr>
                <w:p w14:paraId="08F8AAA5">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《畜产品检验合格证》</w:t>
                  </w:r>
                </w:p>
              </w:tc>
              <w:tc>
                <w:tcPr>
                  <w:tcW w:w="2646" w:type="dxa"/>
                  <w:vAlign w:val="center"/>
                </w:tcPr>
                <w:p w14:paraId="79B851BB">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有委托方、送往单位、屠宰场检验专用章、出厂时间和单号。</w:t>
                  </w:r>
                </w:p>
              </w:tc>
            </w:tr>
            <w:tr w14:paraId="768A8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05" w:type="dxa"/>
                  <w:vAlign w:val="center"/>
                </w:tcPr>
                <w:p w14:paraId="3E9B5A60">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三鸟类</w:t>
                  </w:r>
                </w:p>
              </w:tc>
              <w:tc>
                <w:tcPr>
                  <w:tcW w:w="1928" w:type="dxa"/>
                  <w:vAlign w:val="center"/>
                </w:tcPr>
                <w:p w14:paraId="4B255A93">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《动物产品检疫合格证》</w:t>
                  </w:r>
                </w:p>
              </w:tc>
              <w:tc>
                <w:tcPr>
                  <w:tcW w:w="2646" w:type="dxa"/>
                  <w:vAlign w:val="center"/>
                </w:tcPr>
                <w:p w14:paraId="63158063">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要求有生产名称、地址、产品名称、产地和目的地，官方兽医签字、盖检验检疫专用章。</w:t>
                  </w:r>
                </w:p>
              </w:tc>
            </w:tr>
            <w:tr w14:paraId="03CD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805" w:type="dxa"/>
                  <w:vAlign w:val="center"/>
                </w:tcPr>
                <w:p w14:paraId="38E76AF7">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牛肉、羊肉</w:t>
                  </w:r>
                </w:p>
              </w:tc>
              <w:tc>
                <w:tcPr>
                  <w:tcW w:w="1928" w:type="dxa"/>
                  <w:vAlign w:val="center"/>
                </w:tcPr>
                <w:p w14:paraId="5C94210E">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《动物产品检疫合格证》</w:t>
                  </w:r>
                </w:p>
              </w:tc>
              <w:tc>
                <w:tcPr>
                  <w:tcW w:w="2646" w:type="dxa"/>
                  <w:vAlign w:val="center"/>
                </w:tcPr>
                <w:p w14:paraId="65BA697F">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要求有生产名称、地址、产品名称、产地和目的地，官方兽医签字、盖检验检疫专用章。</w:t>
                  </w:r>
                </w:p>
              </w:tc>
            </w:tr>
            <w:tr w14:paraId="54EF6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05" w:type="dxa"/>
                  <w:vAlign w:val="center"/>
                </w:tcPr>
                <w:p w14:paraId="06D1D0FF">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水产品</w:t>
                  </w:r>
                </w:p>
              </w:tc>
              <w:tc>
                <w:tcPr>
                  <w:tcW w:w="1928" w:type="dxa"/>
                  <w:vAlign w:val="center"/>
                </w:tcPr>
                <w:p w14:paraId="43874DC8">
                  <w:pPr>
                    <w:numPr>
                      <w:ilvl w:val="0"/>
                      <w:numId w:val="0"/>
                    </w:numPr>
                    <w:jc w:val="center"/>
                    <w:rPr>
                      <w:rFonts w:hint="default"/>
                      <w:color w:val="auto"/>
                      <w:highlight w:val="none"/>
                      <w:vertAlign w:val="baseline"/>
                      <w:lang w:val="en-US" w:eastAsia="zh-CN"/>
                    </w:rPr>
                  </w:pPr>
                  <w:r>
                    <w:rPr>
                      <w:rFonts w:hint="eastAsia"/>
                      <w:color w:val="auto"/>
                      <w:highlight w:val="none"/>
                      <w:vertAlign w:val="baseline"/>
                      <w:lang w:val="en-US" w:eastAsia="zh-CN"/>
                    </w:rPr>
                    <w:t>贮存地的出入库检疫证明，水产品成型标准为个体单独冷冻成型</w:t>
                  </w:r>
                </w:p>
              </w:tc>
              <w:tc>
                <w:tcPr>
                  <w:tcW w:w="2646" w:type="dxa"/>
                  <w:vAlign w:val="center"/>
                </w:tcPr>
                <w:p w14:paraId="77FF022A">
                  <w:pPr>
                    <w:keepNext w:val="0"/>
                    <w:keepLines w:val="0"/>
                    <w:widowControl/>
                    <w:suppressLineNumbers w:val="0"/>
                    <w:jc w:val="center"/>
                    <w:rPr>
                      <w:rFonts w:hint="eastAsia"/>
                      <w:color w:val="auto"/>
                      <w:highlight w:val="none"/>
                      <w:vertAlign w:val="baseline"/>
                      <w:lang w:val="en-US" w:eastAsia="zh-CN"/>
                    </w:rPr>
                  </w:pPr>
                  <w:r>
                    <w:rPr>
                      <w:rFonts w:hint="eastAsia"/>
                      <w:color w:val="auto"/>
                      <w:highlight w:val="none"/>
                      <w:vertAlign w:val="baseline"/>
                      <w:lang w:val="en-US" w:eastAsia="zh-CN"/>
                    </w:rPr>
                    <w:t>交货时提供本批次产品的出厂（库）检验合格证，随车同行。</w:t>
                  </w:r>
                </w:p>
              </w:tc>
            </w:tr>
          </w:tbl>
          <w:p w14:paraId="2AB31FF2">
            <w:pPr>
              <w:spacing w:line="240" w:lineRule="auto"/>
              <w:jc w:val="both"/>
              <w:rPr>
                <w:rFonts w:hint="eastAsia" w:ascii="宋体" w:hAnsi="宋体"/>
                <w:color w:val="auto"/>
                <w:szCs w:val="21"/>
                <w:highlight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B8BD7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8D4CD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693CA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088DC83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CBB9A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33E5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auto"/>
                <w:highlight w:val="none"/>
                <w:lang w:val="en-US" w:eastAsia="zh-CN"/>
              </w:rPr>
            </w:pPr>
            <w:r>
              <w:rPr>
                <w:rFonts w:hint="eastAsia"/>
                <w:color w:val="auto"/>
                <w:highlight w:val="none"/>
                <w:lang w:val="en-US" w:eastAsia="zh-CN"/>
              </w:rPr>
              <w:t>蔬菜卫生质量要求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0"/>
              <w:gridCol w:w="2650"/>
            </w:tblGrid>
            <w:tr w14:paraId="25566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1" w:hRule="atLeast"/>
              </w:trPr>
              <w:tc>
                <w:tcPr>
                  <w:tcW w:w="2650" w:type="dxa"/>
                  <w:vAlign w:val="center"/>
                </w:tcPr>
                <w:p w14:paraId="72306281">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项目</w:t>
                  </w:r>
                </w:p>
              </w:tc>
              <w:tc>
                <w:tcPr>
                  <w:tcW w:w="2650" w:type="dxa"/>
                  <w:vAlign w:val="center"/>
                </w:tcPr>
                <w:p w14:paraId="5C192BED">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指标（mg/kg）</w:t>
                  </w:r>
                </w:p>
              </w:tc>
            </w:tr>
            <w:tr w14:paraId="366A8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650" w:type="dxa"/>
                  <w:vAlign w:val="center"/>
                </w:tcPr>
                <w:p w14:paraId="2F97ECC8">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甲胺磷 </w:t>
                  </w:r>
                </w:p>
              </w:tc>
              <w:tc>
                <w:tcPr>
                  <w:tcW w:w="2650" w:type="dxa"/>
                  <w:vAlign w:val="center"/>
                </w:tcPr>
                <w:p w14:paraId="628938D2">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不得检出 </w:t>
                  </w:r>
                </w:p>
              </w:tc>
            </w:tr>
            <w:tr w14:paraId="56621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650" w:type="dxa"/>
                  <w:vAlign w:val="center"/>
                </w:tcPr>
                <w:p w14:paraId="7419937F">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甲拌磷 </w:t>
                  </w:r>
                </w:p>
              </w:tc>
              <w:tc>
                <w:tcPr>
                  <w:tcW w:w="2650" w:type="dxa"/>
                  <w:vAlign w:val="center"/>
                </w:tcPr>
                <w:p w14:paraId="7B9A69E0">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不得检出</w:t>
                  </w:r>
                </w:p>
              </w:tc>
            </w:tr>
            <w:tr w14:paraId="3FFDB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650" w:type="dxa"/>
                  <w:vAlign w:val="center"/>
                </w:tcPr>
                <w:p w14:paraId="2F63DAE8">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氧化乐果 </w:t>
                  </w:r>
                </w:p>
              </w:tc>
              <w:tc>
                <w:tcPr>
                  <w:tcW w:w="2650" w:type="dxa"/>
                  <w:vAlign w:val="center"/>
                </w:tcPr>
                <w:p w14:paraId="29BD5E86">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不得检出</w:t>
                  </w:r>
                </w:p>
              </w:tc>
            </w:tr>
            <w:tr w14:paraId="3C78A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650" w:type="dxa"/>
                  <w:vAlign w:val="center"/>
                </w:tcPr>
                <w:p w14:paraId="2A67FD78">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甲基对硫磷 </w:t>
                  </w:r>
                </w:p>
              </w:tc>
              <w:tc>
                <w:tcPr>
                  <w:tcW w:w="2650" w:type="dxa"/>
                  <w:vAlign w:val="center"/>
                </w:tcPr>
                <w:p w14:paraId="7696F584">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不得检出 </w:t>
                  </w:r>
                </w:p>
              </w:tc>
            </w:tr>
            <w:tr w14:paraId="6B32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650" w:type="dxa"/>
                  <w:vAlign w:val="center"/>
                </w:tcPr>
                <w:p w14:paraId="66DBE5FE">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呋喃丹</w:t>
                  </w:r>
                </w:p>
              </w:tc>
              <w:tc>
                <w:tcPr>
                  <w:tcW w:w="2650" w:type="dxa"/>
                  <w:vAlign w:val="center"/>
                </w:tcPr>
                <w:p w14:paraId="0BBEBB2B">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不得检出 </w:t>
                  </w:r>
                </w:p>
              </w:tc>
            </w:tr>
            <w:tr w14:paraId="55CDC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50" w:type="dxa"/>
                  <w:vAlign w:val="center"/>
                </w:tcPr>
                <w:p w14:paraId="193EC4E0">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 xml:space="preserve">百菌清 </w:t>
                  </w:r>
                </w:p>
              </w:tc>
              <w:tc>
                <w:tcPr>
                  <w:tcW w:w="2650" w:type="dxa"/>
                  <w:vAlign w:val="center"/>
                </w:tcPr>
                <w:p w14:paraId="37BC7C07">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≤1.0</w:t>
                  </w:r>
                </w:p>
              </w:tc>
            </w:tr>
            <w:tr w14:paraId="6FA8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650" w:type="dxa"/>
                  <w:vAlign w:val="center"/>
                </w:tcPr>
                <w:p w14:paraId="51D9C764">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多菌灵</w:t>
                  </w:r>
                </w:p>
              </w:tc>
              <w:tc>
                <w:tcPr>
                  <w:tcW w:w="2650" w:type="dxa"/>
                  <w:vAlign w:val="center"/>
                </w:tcPr>
                <w:p w14:paraId="23E2E135">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default"/>
                      <w:color w:val="auto"/>
                      <w:highlight w:val="none"/>
                      <w:vertAlign w:val="baseline"/>
                      <w:lang w:val="en-US" w:eastAsia="zh-CN"/>
                    </w:rPr>
                    <w:t>≤0.5</w:t>
                  </w:r>
                </w:p>
              </w:tc>
            </w:tr>
            <w:tr w14:paraId="7FCA8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650" w:type="dxa"/>
                  <w:vAlign w:val="center"/>
                </w:tcPr>
                <w:p w14:paraId="7E666562">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汞（以</w:t>
                  </w:r>
                  <w:r>
                    <w:rPr>
                      <w:rFonts w:hint="default"/>
                      <w:color w:val="auto"/>
                      <w:highlight w:val="none"/>
                      <w:vertAlign w:val="baseline"/>
                      <w:lang w:val="en-US" w:eastAsia="zh-CN"/>
                    </w:rPr>
                    <w:t>Hg</w:t>
                  </w:r>
                  <w:r>
                    <w:rPr>
                      <w:rFonts w:hint="eastAsia"/>
                      <w:color w:val="auto"/>
                      <w:highlight w:val="none"/>
                      <w:vertAlign w:val="baseline"/>
                      <w:lang w:val="en-US" w:eastAsia="zh-CN"/>
                    </w:rPr>
                    <w:t xml:space="preserve">计） </w:t>
                  </w:r>
                </w:p>
              </w:tc>
              <w:tc>
                <w:tcPr>
                  <w:tcW w:w="2650" w:type="dxa"/>
                  <w:vAlign w:val="center"/>
                </w:tcPr>
                <w:p w14:paraId="4FDAFB33">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default"/>
                      <w:color w:val="auto"/>
                      <w:highlight w:val="none"/>
                      <w:vertAlign w:val="baseline"/>
                      <w:lang w:val="en-US" w:eastAsia="zh-CN"/>
                    </w:rPr>
                    <w:t>≤0.01</w:t>
                  </w:r>
                </w:p>
              </w:tc>
            </w:tr>
            <w:tr w14:paraId="104F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650" w:type="dxa"/>
                  <w:vAlign w:val="center"/>
                </w:tcPr>
                <w:p w14:paraId="0E460CCF">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铅（以</w:t>
                  </w:r>
                  <w:r>
                    <w:rPr>
                      <w:rFonts w:hint="default"/>
                      <w:color w:val="auto"/>
                      <w:highlight w:val="none"/>
                      <w:vertAlign w:val="baseline"/>
                      <w:lang w:val="en-US" w:eastAsia="zh-CN"/>
                    </w:rPr>
                    <w:t>Pb</w:t>
                  </w:r>
                  <w:r>
                    <w:rPr>
                      <w:rFonts w:hint="eastAsia"/>
                      <w:color w:val="auto"/>
                      <w:highlight w:val="none"/>
                      <w:vertAlign w:val="baseline"/>
                      <w:lang w:val="en-US" w:eastAsia="zh-CN"/>
                    </w:rPr>
                    <w:t>计）</w:t>
                  </w:r>
                </w:p>
              </w:tc>
              <w:tc>
                <w:tcPr>
                  <w:tcW w:w="2650" w:type="dxa"/>
                  <w:vAlign w:val="center"/>
                </w:tcPr>
                <w:p w14:paraId="3A4B1D04">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default"/>
                      <w:color w:val="auto"/>
                      <w:highlight w:val="none"/>
                      <w:vertAlign w:val="baseline"/>
                      <w:lang w:val="en-US" w:eastAsia="zh-CN"/>
                    </w:rPr>
                    <w:t xml:space="preserve">≤0.2 </w:t>
                  </w:r>
                </w:p>
              </w:tc>
            </w:tr>
            <w:tr w14:paraId="21B6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650" w:type="dxa"/>
                  <w:vAlign w:val="center"/>
                </w:tcPr>
                <w:p w14:paraId="50D0DF38">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砷（以</w:t>
                  </w:r>
                  <w:r>
                    <w:rPr>
                      <w:rFonts w:hint="default"/>
                      <w:color w:val="auto"/>
                      <w:highlight w:val="none"/>
                      <w:vertAlign w:val="baseline"/>
                      <w:lang w:val="en-US" w:eastAsia="zh-CN"/>
                    </w:rPr>
                    <w:t>As</w:t>
                  </w:r>
                  <w:r>
                    <w:rPr>
                      <w:rFonts w:hint="eastAsia"/>
                      <w:color w:val="auto"/>
                      <w:highlight w:val="none"/>
                      <w:vertAlign w:val="baseline"/>
                      <w:lang w:val="en-US" w:eastAsia="zh-CN"/>
                    </w:rPr>
                    <w:t>计）</w:t>
                  </w:r>
                </w:p>
              </w:tc>
              <w:tc>
                <w:tcPr>
                  <w:tcW w:w="2650" w:type="dxa"/>
                  <w:vAlign w:val="center"/>
                </w:tcPr>
                <w:p w14:paraId="54208EAA">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default"/>
                      <w:color w:val="auto"/>
                      <w:highlight w:val="none"/>
                      <w:vertAlign w:val="baseline"/>
                      <w:lang w:val="en-US" w:eastAsia="zh-CN"/>
                    </w:rPr>
                    <w:t>≤0.5</w:t>
                  </w:r>
                </w:p>
              </w:tc>
            </w:tr>
            <w:tr w14:paraId="3C36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650" w:type="dxa"/>
                  <w:vAlign w:val="center"/>
                </w:tcPr>
                <w:p w14:paraId="15C84459">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氟（以</w:t>
                  </w:r>
                  <w:r>
                    <w:rPr>
                      <w:rFonts w:hint="default"/>
                      <w:color w:val="auto"/>
                      <w:highlight w:val="none"/>
                      <w:vertAlign w:val="baseline"/>
                      <w:lang w:val="en-US" w:eastAsia="zh-CN"/>
                    </w:rPr>
                    <w:t>F</w:t>
                  </w:r>
                  <w:r>
                    <w:rPr>
                      <w:rFonts w:hint="eastAsia"/>
                      <w:color w:val="auto"/>
                      <w:highlight w:val="none"/>
                      <w:vertAlign w:val="baseline"/>
                      <w:lang w:val="en-US" w:eastAsia="zh-CN"/>
                    </w:rPr>
                    <w:t>计）</w:t>
                  </w:r>
                </w:p>
              </w:tc>
              <w:tc>
                <w:tcPr>
                  <w:tcW w:w="2650" w:type="dxa"/>
                  <w:vAlign w:val="center"/>
                </w:tcPr>
                <w:p w14:paraId="4397EEB0">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default"/>
                      <w:color w:val="auto"/>
                      <w:highlight w:val="none"/>
                      <w:vertAlign w:val="baseline"/>
                      <w:lang w:val="en-US" w:eastAsia="zh-CN"/>
                    </w:rPr>
                    <w:t>≤0.5</w:t>
                  </w:r>
                </w:p>
              </w:tc>
            </w:tr>
            <w:tr w14:paraId="5CF3A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650" w:type="dxa"/>
                  <w:vAlign w:val="center"/>
                </w:tcPr>
                <w:p w14:paraId="004FB8A8">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硝酸盐（以</w:t>
                  </w:r>
                  <w:r>
                    <w:rPr>
                      <w:rFonts w:hint="default"/>
                      <w:color w:val="auto"/>
                      <w:highlight w:val="none"/>
                      <w:vertAlign w:val="baseline"/>
                      <w:lang w:val="en-US" w:eastAsia="zh-CN"/>
                    </w:rPr>
                    <w:t>NaNO3</w:t>
                  </w:r>
                  <w:r>
                    <w:rPr>
                      <w:rFonts w:hint="eastAsia"/>
                      <w:color w:val="auto"/>
                      <w:highlight w:val="none"/>
                      <w:vertAlign w:val="baseline"/>
                      <w:lang w:val="en-US" w:eastAsia="zh-CN"/>
                    </w:rPr>
                    <w:t>计）</w:t>
                  </w:r>
                </w:p>
              </w:tc>
              <w:tc>
                <w:tcPr>
                  <w:tcW w:w="2650" w:type="dxa"/>
                  <w:vAlign w:val="center"/>
                </w:tcPr>
                <w:p w14:paraId="3F6FF4C4">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瓜果类</w:t>
                  </w:r>
                  <w:r>
                    <w:rPr>
                      <w:rFonts w:hint="default"/>
                      <w:color w:val="auto"/>
                      <w:highlight w:val="none"/>
                      <w:vertAlign w:val="baseline"/>
                      <w:lang w:val="en-US" w:eastAsia="zh-CN"/>
                    </w:rPr>
                    <w:t>≤600</w:t>
                  </w:r>
                  <w:r>
                    <w:rPr>
                      <w:rFonts w:hint="eastAsia"/>
                      <w:color w:val="auto"/>
                      <w:highlight w:val="none"/>
                      <w:vertAlign w:val="baseline"/>
                      <w:lang w:val="en-US" w:eastAsia="zh-CN"/>
                    </w:rPr>
                    <w:t>；叶菜根茎类</w:t>
                  </w:r>
                  <w:r>
                    <w:rPr>
                      <w:rFonts w:hint="default"/>
                      <w:color w:val="auto"/>
                      <w:highlight w:val="none"/>
                      <w:vertAlign w:val="baseline"/>
                      <w:lang w:val="en-US" w:eastAsia="zh-CN"/>
                    </w:rPr>
                    <w:t xml:space="preserve">≤1200 </w:t>
                  </w:r>
                </w:p>
              </w:tc>
            </w:tr>
            <w:tr w14:paraId="1F19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650" w:type="dxa"/>
                  <w:vAlign w:val="center"/>
                </w:tcPr>
                <w:p w14:paraId="76EA344B">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亚硝酸盐（以</w:t>
                  </w:r>
                  <w:r>
                    <w:rPr>
                      <w:rFonts w:hint="default"/>
                      <w:color w:val="auto"/>
                      <w:highlight w:val="none"/>
                      <w:vertAlign w:val="baseline"/>
                      <w:lang w:val="en-US" w:eastAsia="zh-CN"/>
                    </w:rPr>
                    <w:t>NaNO2</w:t>
                  </w:r>
                  <w:r>
                    <w:rPr>
                      <w:rFonts w:hint="eastAsia"/>
                      <w:color w:val="auto"/>
                      <w:highlight w:val="none"/>
                      <w:vertAlign w:val="baseline"/>
                      <w:lang w:val="en-US" w:eastAsia="zh-CN"/>
                    </w:rPr>
                    <w:t>计）</w:t>
                  </w:r>
                </w:p>
              </w:tc>
              <w:tc>
                <w:tcPr>
                  <w:tcW w:w="2650" w:type="dxa"/>
                  <w:vAlign w:val="center"/>
                </w:tcPr>
                <w:p w14:paraId="1E7CA1B9">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default"/>
                      <w:color w:val="auto"/>
                      <w:highlight w:val="none"/>
                      <w:vertAlign w:val="baseline"/>
                      <w:lang w:val="en-US" w:eastAsia="zh-CN"/>
                    </w:rPr>
                    <w:t>≤4</w:t>
                  </w:r>
                </w:p>
              </w:tc>
            </w:tr>
            <w:tr w14:paraId="46848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5300" w:type="dxa"/>
                  <w:gridSpan w:val="2"/>
                  <w:vAlign w:val="center"/>
                </w:tcPr>
                <w:p w14:paraId="2E363F87">
                  <w:pPr>
                    <w:pStyle w:val="7"/>
                    <w:keepNext w:val="0"/>
                    <w:keepLines w:val="0"/>
                    <w:pageBreakBefore w:val="0"/>
                    <w:widowControl w:val="0"/>
                    <w:numPr>
                      <w:ilvl w:val="0"/>
                      <w:numId w:val="0"/>
                    </w:numPr>
                    <w:kinsoku/>
                    <w:wordWrap/>
                    <w:overflowPunct/>
                    <w:topLinePunct w:val="0"/>
                    <w:autoSpaceDE/>
                    <w:autoSpaceDN/>
                    <w:bidi w:val="0"/>
                    <w:adjustRightInd/>
                    <w:snapToGrid/>
                    <w:spacing w:after="0" w:line="240" w:lineRule="auto"/>
                    <w:jc w:val="center"/>
                    <w:textAlignment w:val="auto"/>
                    <w:rPr>
                      <w:rFonts w:hint="default"/>
                      <w:color w:val="auto"/>
                      <w:highlight w:val="none"/>
                      <w:vertAlign w:val="baseline"/>
                      <w:lang w:val="en-US" w:eastAsia="zh-CN"/>
                    </w:rPr>
                  </w:pPr>
                  <w:r>
                    <w:rPr>
                      <w:rFonts w:hint="eastAsia"/>
                      <w:color w:val="auto"/>
                      <w:highlight w:val="none"/>
                      <w:vertAlign w:val="baseline"/>
                      <w:lang w:val="en-US" w:eastAsia="zh-CN"/>
                    </w:rPr>
                    <w:t>卫生质量指标，应符合我国无公害蔬菜的卫生指标规定</w:t>
                  </w:r>
                </w:p>
              </w:tc>
            </w:tr>
          </w:tbl>
          <w:p w14:paraId="5A96EAA8">
            <w:pPr>
              <w:spacing w:line="240" w:lineRule="auto"/>
              <w:jc w:val="both"/>
              <w:rPr>
                <w:rFonts w:hint="eastAsia" w:ascii="宋体" w:hAnsi="宋体"/>
                <w:color w:val="auto"/>
                <w:szCs w:val="21"/>
                <w:highlight w:val="none"/>
              </w:rPr>
            </w:pP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EE8A9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0A69F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A602F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D85B45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1092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94FA99">
            <w:pPr>
              <w:tabs>
                <w:tab w:val="left" w:pos="1050"/>
                <w:tab w:val="left" w:pos="1155"/>
              </w:tabs>
              <w:autoSpaceDE w:val="0"/>
              <w:autoSpaceDN w:val="0"/>
              <w:adjustRightInd w:val="0"/>
              <w:snapToGrid w:val="0"/>
              <w:spacing w:line="360" w:lineRule="auto"/>
              <w:textAlignment w:val="baseline"/>
              <w:rPr>
                <w:rStyle w:val="33"/>
                <w:rFonts w:hint="eastAsia" w:ascii="宋体" w:hAnsi="宋体" w:eastAsia="宋体" w:cs="宋体"/>
                <w:b w:val="0"/>
                <w:bCs w:val="0"/>
                <w:color w:val="auto"/>
                <w:kern w:val="2"/>
                <w:sz w:val="21"/>
                <w:szCs w:val="21"/>
                <w:lang w:val="zh-TW" w:eastAsia="zh-TW"/>
              </w:rPr>
            </w:pPr>
            <w:r>
              <w:rPr>
                <w:rFonts w:hint="eastAsia" w:ascii="宋体" w:hAnsi="宋体" w:cs="SimSun-Identity-H"/>
                <w:b/>
                <w:bCs/>
                <w:color w:val="auto"/>
                <w:kern w:val="0"/>
                <w:szCs w:val="21"/>
                <w:highlight w:val="none"/>
                <w:lang w:val="en-US" w:eastAsia="zh-CN"/>
              </w:rPr>
              <w:t>五</w:t>
            </w:r>
            <w:r>
              <w:rPr>
                <w:rFonts w:hint="eastAsia" w:ascii="宋体" w:hAnsi="宋体" w:cs="SimSun-Identity-H"/>
                <w:b/>
                <w:bCs/>
                <w:color w:val="auto"/>
                <w:kern w:val="0"/>
                <w:szCs w:val="21"/>
                <w:highlight w:val="none"/>
              </w:rPr>
              <w:t>、餐具、相关设备要求</w:t>
            </w:r>
          </w:p>
        </w:tc>
      </w:tr>
      <w:tr w14:paraId="533E020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E814C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9117BC">
            <w:pPr>
              <w:spacing w:line="240" w:lineRule="auto"/>
              <w:jc w:val="both"/>
              <w:rPr>
                <w:rFonts w:hint="eastAsia" w:ascii="宋体" w:hAnsi="宋体"/>
                <w:color w:val="auto"/>
                <w:szCs w:val="21"/>
                <w:highlight w:val="none"/>
              </w:rPr>
            </w:pPr>
            <w:r>
              <w:rPr>
                <w:rFonts w:hint="eastAsia" w:ascii="宋体" w:hAnsi="宋体"/>
                <w:color w:val="auto"/>
                <w:szCs w:val="21"/>
                <w:highlight w:val="none"/>
              </w:rPr>
              <w:t>操作台面、货物架、调料台、蒸烤箱等使用无毒无害材质制作，并符合国家食(饮)具卫生标准等相关规定。</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31A20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94C4A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0BD43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563AB8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D198D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3B549A">
            <w:pPr>
              <w:spacing w:line="240" w:lineRule="auto"/>
              <w:jc w:val="both"/>
              <w:rPr>
                <w:rFonts w:hint="eastAsia" w:ascii="宋体" w:hAnsi="宋体"/>
                <w:color w:val="auto"/>
                <w:szCs w:val="21"/>
                <w:highlight w:val="none"/>
              </w:rPr>
            </w:pPr>
            <w:r>
              <w:rPr>
                <w:rFonts w:hint="eastAsia" w:ascii="宋体" w:hAnsi="宋体"/>
                <w:color w:val="auto"/>
                <w:szCs w:val="21"/>
                <w:highlight w:val="none"/>
              </w:rPr>
              <w:t>生产、运输及院内食品分送场所的设施与卫生条件符合国家食品卫生法规要求；餐具符合国家食品卫生标准，使用不锈钢筷子、餐盘、蒸笼等，所有不锈钢筷子、餐盘等餐具必须经高温消毒柜消毒后才能使用。</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CE2E7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FD86F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0237B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4267533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8A2003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E165E7">
            <w:pPr>
              <w:spacing w:line="240" w:lineRule="auto"/>
              <w:jc w:val="both"/>
              <w:rPr>
                <w:rFonts w:hint="eastAsia" w:ascii="宋体" w:hAnsi="宋体"/>
                <w:color w:val="auto"/>
                <w:szCs w:val="21"/>
                <w:highlight w:val="none"/>
              </w:rPr>
            </w:pPr>
            <w:r>
              <w:rPr>
                <w:rFonts w:hint="eastAsia" w:ascii="宋体" w:hAnsi="宋体" w:cs="宋体"/>
                <w:color w:val="auto"/>
                <w:kern w:val="0"/>
                <w:szCs w:val="21"/>
                <w:highlight w:val="none"/>
              </w:rPr>
              <w:t>冰箱、冰柜所有食物须分开分类放置，熟食品须专用冰箱放置，其他的严格按食品种类分隔的标准独立存放（生食品、半成品、干货类独立），所有存储容器外均贴上食物资料标签。</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B5639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90A84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F257B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D50BCA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3E904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D995D3">
            <w:pPr>
              <w:tabs>
                <w:tab w:val="left" w:pos="1050"/>
                <w:tab w:val="left" w:pos="1155"/>
              </w:tabs>
              <w:autoSpaceDE w:val="0"/>
              <w:autoSpaceDN w:val="0"/>
              <w:adjustRightInd w:val="0"/>
              <w:snapToGrid w:val="0"/>
              <w:spacing w:line="360" w:lineRule="auto"/>
              <w:textAlignment w:val="baseline"/>
              <w:rPr>
                <w:rFonts w:hint="eastAsia" w:ascii="宋体" w:hAnsi="宋体"/>
                <w:color w:val="auto"/>
                <w:szCs w:val="21"/>
                <w:highlight w:val="none"/>
              </w:rPr>
            </w:pPr>
            <w:r>
              <w:rPr>
                <w:rFonts w:hint="eastAsia" w:ascii="宋体" w:hAnsi="宋体"/>
                <w:color w:val="auto"/>
                <w:szCs w:val="21"/>
                <w:highlight w:val="none"/>
              </w:rPr>
              <w:t>严格区别使用生食、熟食的刀具、砧板，必须分开专用专位放置，并有一定距离。</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94E55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E8F94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56D91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74F3ACB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43580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B42E4D">
            <w:pPr>
              <w:spacing w:line="240" w:lineRule="auto"/>
              <w:jc w:val="both"/>
              <w:rPr>
                <w:rFonts w:hint="eastAsia" w:ascii="宋体" w:hAnsi="宋体"/>
                <w:color w:val="auto"/>
                <w:szCs w:val="21"/>
                <w:highlight w:val="none"/>
              </w:rPr>
            </w:pPr>
            <w:r>
              <w:rPr>
                <w:rFonts w:hint="eastAsia" w:ascii="宋体" w:hAnsi="宋体"/>
                <w:color w:val="auto"/>
                <w:szCs w:val="21"/>
                <w:highlight w:val="none"/>
              </w:rPr>
              <w:t>餐具、设施做好标识，并分类规范存放。</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30102D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53072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3450A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76DAC0D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545F1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771D13">
            <w:pPr>
              <w:spacing w:line="240" w:lineRule="auto"/>
              <w:jc w:val="both"/>
              <w:rPr>
                <w:rFonts w:hint="eastAsia" w:ascii="宋体" w:hAnsi="宋体"/>
                <w:color w:val="auto"/>
                <w:szCs w:val="21"/>
                <w:highlight w:val="none"/>
              </w:rPr>
            </w:pPr>
            <w:r>
              <w:rPr>
                <w:rFonts w:hint="eastAsia" w:ascii="宋体" w:hAnsi="宋体"/>
                <w:color w:val="auto"/>
                <w:szCs w:val="21"/>
                <w:highlight w:val="none"/>
              </w:rPr>
              <w:t>洗洁精使用要求用原瓶装包装，无毒、安全。</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E0C20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4823A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7F6FE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7CBBAC5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1092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067D8B">
            <w:pPr>
              <w:tabs>
                <w:tab w:val="left" w:pos="1050"/>
                <w:tab w:val="left" w:pos="1155"/>
              </w:tabs>
              <w:autoSpaceDE w:val="0"/>
              <w:autoSpaceDN w:val="0"/>
              <w:adjustRightInd w:val="0"/>
              <w:snapToGrid w:val="0"/>
              <w:spacing w:line="312" w:lineRule="auto"/>
              <w:textAlignment w:val="baseline"/>
              <w:rPr>
                <w:rStyle w:val="33"/>
                <w:rFonts w:hint="eastAsia" w:ascii="宋体" w:hAnsi="宋体" w:eastAsia="宋体" w:cs="宋体"/>
                <w:b w:val="0"/>
                <w:bCs w:val="0"/>
                <w:color w:val="auto"/>
                <w:kern w:val="2"/>
                <w:sz w:val="21"/>
                <w:szCs w:val="21"/>
                <w:lang w:val="zh-TW" w:eastAsia="zh-TW"/>
              </w:rPr>
            </w:pPr>
            <w:r>
              <w:rPr>
                <w:rFonts w:hint="eastAsia" w:ascii="宋体" w:hAnsi="宋体" w:cs="SimSun-Identity-H"/>
                <w:b/>
                <w:bCs/>
                <w:color w:val="auto"/>
                <w:kern w:val="0"/>
                <w:szCs w:val="21"/>
                <w:highlight w:val="none"/>
                <w:lang w:val="en-US" w:eastAsia="zh-CN"/>
              </w:rPr>
              <w:t>六</w:t>
            </w:r>
            <w:r>
              <w:rPr>
                <w:rFonts w:hint="eastAsia" w:ascii="宋体" w:hAnsi="宋体" w:cs="SimSun-Identity-H"/>
                <w:b/>
                <w:bCs/>
                <w:color w:val="auto"/>
                <w:kern w:val="0"/>
                <w:szCs w:val="21"/>
                <w:highlight w:val="none"/>
              </w:rPr>
              <w:t>、</w:t>
            </w:r>
            <w:r>
              <w:rPr>
                <w:rFonts w:hint="eastAsia" w:ascii="宋体" w:hAnsi="宋体"/>
                <w:b/>
                <w:bCs/>
                <w:color w:val="auto"/>
                <w:szCs w:val="21"/>
                <w:highlight w:val="none"/>
              </w:rPr>
              <w:t>卫生安全要求</w:t>
            </w:r>
          </w:p>
        </w:tc>
      </w:tr>
      <w:tr w14:paraId="36F4E10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E9B50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8DDC1F">
            <w:pPr>
              <w:spacing w:line="240" w:lineRule="auto"/>
              <w:jc w:val="both"/>
              <w:rPr>
                <w:rFonts w:hint="eastAsia" w:ascii="宋体" w:hAnsi="宋体"/>
                <w:color w:val="auto"/>
                <w:szCs w:val="21"/>
                <w:highlight w:val="none"/>
              </w:rPr>
            </w:pPr>
            <w:r>
              <w:rPr>
                <w:rFonts w:hint="eastAsia" w:ascii="宋体" w:hAnsi="宋体"/>
                <w:color w:val="auto"/>
                <w:szCs w:val="21"/>
                <w:highlight w:val="none"/>
              </w:rPr>
              <w:t>饭堂的卫生防疫、就餐环境和制作的食品及送餐等服务必须符合《食品卫生法》、国家相关的食品卫生标准及本院《饭堂管理制度》要求。</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9B3DF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432E7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46EB4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2091CFC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F8F95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C79232">
            <w:pPr>
              <w:spacing w:line="240" w:lineRule="auto"/>
              <w:jc w:val="both"/>
              <w:rPr>
                <w:rFonts w:hint="eastAsia" w:ascii="宋体" w:hAnsi="宋体"/>
                <w:color w:val="auto"/>
                <w:szCs w:val="21"/>
                <w:highlight w:val="none"/>
              </w:rPr>
            </w:pPr>
            <w:r>
              <w:rPr>
                <w:rFonts w:hint="eastAsia" w:ascii="宋体" w:hAnsi="宋体"/>
                <w:color w:val="auto"/>
                <w:szCs w:val="21"/>
                <w:highlight w:val="none"/>
              </w:rPr>
              <w:t>严格做好环境卫生工作（包括厨房、仓库、配餐间、就餐区域等），搞好室内外环境清洁和消毒工作，清除卫生死角，保持墙壁、墙裙、天花板、地面、炉灶、油烟罩/滤网、容器用具、案板工具等整洁、光亮、干燥、整齐、卫生、无油迹，通风、排烟、排水良好，有清洗记录。</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04417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BA273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B4A23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14E78C3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183E3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854867">
            <w:pPr>
              <w:spacing w:line="240" w:lineRule="auto"/>
              <w:jc w:val="both"/>
              <w:rPr>
                <w:rFonts w:hint="eastAsia" w:ascii="宋体" w:hAnsi="宋体"/>
                <w:color w:val="auto"/>
                <w:szCs w:val="21"/>
                <w:highlight w:val="none"/>
              </w:rPr>
            </w:pPr>
            <w:r>
              <w:rPr>
                <w:rFonts w:hint="eastAsia" w:ascii="宋体" w:hAnsi="宋体"/>
                <w:color w:val="auto"/>
                <w:szCs w:val="21"/>
                <w:highlight w:val="none"/>
              </w:rPr>
              <w:t>一餐一打扫，一周一大扫，平面天天扫，立面周周搞，保持饭堂卫生、整洁。</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自行负责承包区域（含阳台、过道、楼梯、厕所、下水道、绿化带等）的环境卫生。</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491E70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3D355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9832C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64DE5BA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856F2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77F3F3">
            <w:pPr>
              <w:tabs>
                <w:tab w:val="left" w:pos="1050"/>
                <w:tab w:val="left" w:pos="1155"/>
              </w:tabs>
              <w:autoSpaceDE w:val="0"/>
              <w:autoSpaceDN w:val="0"/>
              <w:adjustRightInd w:val="0"/>
              <w:snapToGrid w:val="0"/>
              <w:spacing w:line="360" w:lineRule="auto"/>
              <w:textAlignment w:val="baseline"/>
              <w:rPr>
                <w:rFonts w:hint="eastAsia" w:ascii="宋体" w:hAnsi="宋体"/>
                <w:color w:val="auto"/>
                <w:szCs w:val="21"/>
                <w:highlight w:val="none"/>
              </w:rPr>
            </w:pPr>
            <w:r>
              <w:rPr>
                <w:rFonts w:hint="eastAsia" w:ascii="宋体" w:hAnsi="宋体"/>
                <w:color w:val="auto"/>
                <w:szCs w:val="21"/>
                <w:highlight w:val="none"/>
              </w:rPr>
              <w:t>操作台面、货物架、调料台、蒸烤箱等设备，做到整洁无杂物，无污渍、无灰尘，玻璃罩具光洁明亮。</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481FC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37AAF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2036F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4E87F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FAEC9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ECC39F">
            <w:pPr>
              <w:spacing w:line="240" w:lineRule="auto"/>
              <w:jc w:val="both"/>
              <w:rPr>
                <w:rFonts w:hint="eastAsia" w:ascii="宋体" w:hAnsi="宋体"/>
                <w:color w:val="auto"/>
                <w:szCs w:val="21"/>
                <w:highlight w:val="none"/>
              </w:rPr>
            </w:pPr>
            <w:r>
              <w:rPr>
                <w:rFonts w:hint="eastAsia" w:ascii="宋体" w:hAnsi="宋体"/>
                <w:color w:val="auto"/>
                <w:szCs w:val="21"/>
                <w:highlight w:val="none"/>
              </w:rPr>
              <w:t>擦碗盘与清洁抹布专用，并做好区分，保持干净。</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607C3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3DA2D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934B7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42A151A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C9B87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E583C6">
            <w:pPr>
              <w:tabs>
                <w:tab w:val="left" w:pos="1050"/>
                <w:tab w:val="left" w:pos="1155"/>
              </w:tabs>
              <w:autoSpaceDE w:val="0"/>
              <w:autoSpaceDN w:val="0"/>
              <w:adjustRightInd w:val="0"/>
              <w:snapToGrid w:val="0"/>
              <w:spacing w:line="360" w:lineRule="auto"/>
              <w:textAlignment w:val="baseline"/>
              <w:rPr>
                <w:rFonts w:hint="eastAsia" w:ascii="宋体" w:hAnsi="宋体"/>
                <w:color w:val="auto"/>
                <w:szCs w:val="21"/>
                <w:highlight w:val="none"/>
              </w:rPr>
            </w:pPr>
            <w:r>
              <w:rPr>
                <w:rFonts w:hint="eastAsia" w:ascii="宋体" w:hAnsi="宋体"/>
                <w:color w:val="auto"/>
                <w:szCs w:val="21"/>
                <w:highlight w:val="none"/>
              </w:rPr>
              <w:t>每次餐前、餐中、餐后应及时擦洗饭桌上的残渣、剩饭、油污。餐厨产生垃圾由</w:t>
            </w:r>
            <w:r>
              <w:rPr>
                <w:rFonts w:hint="eastAsia" w:ascii="宋体" w:hAnsi="宋体"/>
                <w:color w:val="auto"/>
                <w:szCs w:val="21"/>
                <w:highlight w:val="none"/>
                <w:lang w:eastAsia="zh-CN"/>
              </w:rPr>
              <w:t>中选服务商</w:t>
            </w:r>
            <w:r>
              <w:rPr>
                <w:rFonts w:hint="eastAsia" w:ascii="宋体" w:hAnsi="宋体"/>
                <w:color w:val="auto"/>
                <w:szCs w:val="21"/>
                <w:highlight w:val="none"/>
              </w:rPr>
              <w:t>按环保要求每天自行处理。</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EB568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29AF0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ADEA2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4CB1C1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828EB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DE8C23">
            <w:pPr>
              <w:spacing w:line="240" w:lineRule="auto"/>
              <w:jc w:val="both"/>
              <w:rPr>
                <w:rFonts w:hint="eastAsia" w:ascii="宋体" w:hAnsi="宋体"/>
                <w:color w:val="auto"/>
                <w:szCs w:val="21"/>
                <w:highlight w:val="none"/>
              </w:rPr>
            </w:pPr>
            <w:r>
              <w:rPr>
                <w:rFonts w:hint="eastAsia" w:ascii="宋体" w:hAnsi="宋体"/>
                <w:color w:val="auto"/>
                <w:szCs w:val="21"/>
                <w:highlight w:val="none"/>
              </w:rPr>
              <w:t>专人负责餐具的清洗和消毒，餐具使用前必须经过彻底清洁消毒，并符合国家食(饮)具消毒卫生标准等相关规定。</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3A720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64272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7A1DD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13780E3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00D1B7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75209B">
            <w:pPr>
              <w:spacing w:line="240" w:lineRule="auto"/>
              <w:jc w:val="both"/>
              <w:rPr>
                <w:rFonts w:hint="eastAsia" w:ascii="宋体" w:hAnsi="宋体"/>
                <w:color w:val="auto"/>
                <w:szCs w:val="21"/>
                <w:highlight w:val="none"/>
              </w:rPr>
            </w:pPr>
            <w:r>
              <w:rPr>
                <w:rFonts w:hint="eastAsia" w:ascii="宋体" w:hAnsi="宋体"/>
                <w:color w:val="auto"/>
                <w:szCs w:val="21"/>
                <w:highlight w:val="none"/>
              </w:rPr>
              <w:t>及时疏通和清理油烟系统、隔油池、下水道确保畅通干净，加强灭蝇、灭蟑螂、灭鼠等措施，定期灭杀四害，防蝇、防鼠、防尘设备齐全、有效，环境符合</w:t>
            </w:r>
            <w:r>
              <w:rPr>
                <w:rFonts w:hint="eastAsia" w:ascii="宋体" w:hAnsi="宋体"/>
                <w:color w:val="auto"/>
                <w:szCs w:val="21"/>
                <w:highlight w:val="none"/>
                <w:lang w:eastAsia="zh-CN"/>
              </w:rPr>
              <w:t>业主方</w:t>
            </w:r>
            <w:r>
              <w:rPr>
                <w:rFonts w:hint="eastAsia" w:ascii="宋体" w:hAnsi="宋体"/>
                <w:color w:val="auto"/>
                <w:szCs w:val="21"/>
                <w:highlight w:val="none"/>
              </w:rPr>
              <w:t>及上级管理部门的要求，合同签订后</w:t>
            </w:r>
            <w:r>
              <w:rPr>
                <w:rFonts w:ascii="宋体" w:hAnsi="宋体"/>
                <w:color w:val="auto"/>
                <w:szCs w:val="21"/>
                <w:highlight w:val="none"/>
              </w:rPr>
              <w:t>10</w:t>
            </w:r>
            <w:r>
              <w:rPr>
                <w:rFonts w:hint="eastAsia" w:ascii="宋体" w:hAnsi="宋体"/>
                <w:color w:val="auto"/>
                <w:szCs w:val="21"/>
                <w:highlight w:val="none"/>
              </w:rPr>
              <w:t>天内列出具体实施方案给</w:t>
            </w:r>
            <w:r>
              <w:rPr>
                <w:rFonts w:hint="eastAsia" w:ascii="宋体" w:hAnsi="宋体"/>
                <w:color w:val="auto"/>
                <w:szCs w:val="21"/>
                <w:highlight w:val="none"/>
                <w:lang w:eastAsia="zh-CN"/>
              </w:rPr>
              <w:t>业主方</w:t>
            </w:r>
            <w:r>
              <w:rPr>
                <w:rFonts w:hint="eastAsia" w:ascii="宋体" w:hAnsi="宋体"/>
                <w:color w:val="auto"/>
                <w:szCs w:val="21"/>
                <w:highlight w:val="none"/>
              </w:rPr>
              <w:t>，所有卫生防疫费用由</w:t>
            </w:r>
            <w:r>
              <w:rPr>
                <w:rFonts w:hint="eastAsia" w:ascii="宋体" w:hAnsi="宋体"/>
                <w:color w:val="auto"/>
                <w:szCs w:val="21"/>
                <w:highlight w:val="none"/>
                <w:lang w:eastAsia="zh-CN"/>
              </w:rPr>
              <w:t>中选服务商</w:t>
            </w:r>
            <w:r>
              <w:rPr>
                <w:rFonts w:hint="eastAsia" w:ascii="宋体" w:hAnsi="宋体"/>
                <w:color w:val="auto"/>
                <w:szCs w:val="21"/>
                <w:highlight w:val="none"/>
              </w:rPr>
              <w:t>自行承担。如检查发现厨房有活动性苍蝇、蟑螂、老鼠，视情况轻重扣罚，并限期当天整改，如多次发现，</w:t>
            </w:r>
            <w:r>
              <w:rPr>
                <w:rFonts w:hint="eastAsia" w:ascii="宋体" w:hAnsi="宋体"/>
                <w:color w:val="auto"/>
                <w:szCs w:val="21"/>
                <w:highlight w:val="none"/>
                <w:lang w:eastAsia="zh-CN"/>
              </w:rPr>
              <w:t>业主方</w:t>
            </w:r>
            <w:r>
              <w:rPr>
                <w:rFonts w:hint="eastAsia" w:ascii="宋体" w:hAnsi="宋体"/>
                <w:color w:val="auto"/>
                <w:szCs w:val="21"/>
                <w:highlight w:val="none"/>
              </w:rPr>
              <w:t>有权终止合同处理。</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249713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58088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857CA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746A8C5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E963E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89239F">
            <w:pPr>
              <w:spacing w:line="240" w:lineRule="auto"/>
              <w:jc w:val="both"/>
              <w:rPr>
                <w:rFonts w:hint="eastAsia" w:ascii="宋体" w:hAnsi="宋体"/>
                <w:color w:val="auto"/>
                <w:szCs w:val="21"/>
                <w:highlight w:val="none"/>
              </w:rPr>
            </w:pPr>
            <w:r>
              <w:rPr>
                <w:rFonts w:hint="eastAsia" w:ascii="宋体" w:hAnsi="宋体"/>
                <w:color w:val="auto"/>
                <w:szCs w:val="21"/>
                <w:highlight w:val="none"/>
              </w:rPr>
              <w:t>排烟设施每周至少一次表面清洗，每年至少两次内部清洗，确保无油渍，避免安全隐患。做好清洗记录、拍照，资料存档，并接受</w:t>
            </w:r>
            <w:r>
              <w:rPr>
                <w:rFonts w:hint="eastAsia" w:ascii="宋体" w:hAnsi="宋体"/>
                <w:color w:val="auto"/>
                <w:szCs w:val="21"/>
                <w:highlight w:val="none"/>
                <w:lang w:eastAsia="zh-CN"/>
              </w:rPr>
              <w:t>业主方</w:t>
            </w:r>
            <w:r>
              <w:rPr>
                <w:rFonts w:hint="eastAsia" w:ascii="宋体" w:hAnsi="宋体"/>
                <w:color w:val="auto"/>
                <w:szCs w:val="21"/>
                <w:highlight w:val="none"/>
              </w:rPr>
              <w:t>检查。</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53F2D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D1160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7B320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24617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5D713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71A8EB">
            <w:pPr>
              <w:spacing w:line="240" w:lineRule="auto"/>
              <w:jc w:val="both"/>
              <w:rPr>
                <w:rFonts w:hint="eastAsia" w:ascii="宋体" w:hAnsi="宋体"/>
                <w:color w:val="auto"/>
                <w:szCs w:val="21"/>
                <w:highlight w:val="none"/>
              </w:rPr>
            </w:pPr>
            <w:r>
              <w:rPr>
                <w:rFonts w:hint="eastAsia" w:ascii="宋体" w:hAnsi="宋体"/>
                <w:color w:val="auto"/>
                <w:szCs w:val="21"/>
                <w:highlight w:val="none"/>
              </w:rPr>
              <w:t>上岗员工应保持良好的个人卫生习惯，按规定规范穿戴清洁的工服、工牌、帽子、口罩等。</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0B413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A652F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FD3EC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3263E5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9422" w:type="dxa"/>
            <w:gridSpan w:val="4"/>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182E4C">
            <w:pPr>
              <w:pStyle w:val="18"/>
              <w:keepNext w:val="0"/>
              <w:keepLines w:val="0"/>
              <w:pageBreakBefore w:val="0"/>
              <w:widowControl/>
              <w:suppressLineNumbers w:val="0"/>
              <w:kinsoku/>
              <w:wordWrap/>
              <w:overflowPunct/>
              <w:topLinePunct w:val="0"/>
              <w:autoSpaceDN/>
              <w:bidi w:val="0"/>
              <w:adjustRightInd/>
              <w:spacing w:before="0" w:beforeAutospacing="0" w:after="0" w:afterAutospacing="0" w:line="300" w:lineRule="auto"/>
              <w:ind w:left="0" w:right="0"/>
              <w:jc w:val="left"/>
              <w:textAlignment w:val="baseline"/>
              <w:rPr>
                <w:rStyle w:val="33"/>
                <w:rFonts w:hint="eastAsia" w:ascii="宋体" w:hAnsi="宋体" w:eastAsia="宋体" w:cs="宋体"/>
                <w:b w:val="0"/>
                <w:bCs w:val="0"/>
                <w:color w:val="auto"/>
                <w:kern w:val="2"/>
                <w:sz w:val="21"/>
                <w:szCs w:val="21"/>
                <w:lang w:val="en-US" w:eastAsia="zh-CN"/>
              </w:rPr>
            </w:pPr>
            <w:r>
              <w:rPr>
                <w:rFonts w:hint="eastAsia" w:cs="宋体"/>
                <w:b/>
                <w:bCs/>
                <w:i w:val="0"/>
                <w:iCs w:val="0"/>
                <w:caps w:val="0"/>
                <w:color w:val="auto"/>
                <w:spacing w:val="0"/>
                <w:kern w:val="0"/>
                <w:sz w:val="21"/>
                <w:szCs w:val="21"/>
                <w:highlight w:val="none"/>
                <w:shd w:val="clear" w:color="auto" w:fill="FFFFFF"/>
                <w:vertAlign w:val="baseline"/>
                <w:lang w:val="en-US" w:eastAsia="zh-CN" w:bidi="ar"/>
              </w:rPr>
              <w:t>七</w:t>
            </w:r>
            <w:r>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t>、</w:t>
            </w:r>
            <w:r>
              <w:rPr>
                <w:rFonts w:hint="eastAsia"/>
                <w:b/>
                <w:color w:val="auto"/>
                <w:szCs w:val="21"/>
                <w:highlight w:val="none"/>
              </w:rPr>
              <w:t>项目的经营管理要求：</w:t>
            </w: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31D561">
            <w:pPr>
              <w:pStyle w:val="18"/>
              <w:keepNext w:val="0"/>
              <w:keepLines w:val="0"/>
              <w:pageBreakBefore w:val="0"/>
              <w:widowControl/>
              <w:suppressLineNumbers w:val="0"/>
              <w:kinsoku/>
              <w:wordWrap/>
              <w:overflowPunct/>
              <w:topLinePunct w:val="0"/>
              <w:autoSpaceDN/>
              <w:bidi w:val="0"/>
              <w:adjustRightInd/>
              <w:spacing w:before="0" w:beforeAutospacing="0" w:after="0" w:afterAutospacing="0" w:line="300" w:lineRule="auto"/>
              <w:ind w:left="0" w:right="0"/>
              <w:jc w:val="left"/>
              <w:textAlignment w:val="baseline"/>
              <w:rPr>
                <w:rFonts w:hint="eastAsia" w:ascii="宋体" w:hAnsi="宋体" w:eastAsia="宋体" w:cs="宋体"/>
                <w:b/>
                <w:bCs/>
                <w:i w:val="0"/>
                <w:iCs w:val="0"/>
                <w:caps w:val="0"/>
                <w:color w:val="auto"/>
                <w:spacing w:val="0"/>
                <w:kern w:val="0"/>
                <w:sz w:val="21"/>
                <w:szCs w:val="21"/>
                <w:highlight w:val="none"/>
                <w:shd w:val="clear" w:color="auto" w:fill="FFFFFF"/>
                <w:vertAlign w:val="baseline"/>
                <w:lang w:val="en-US" w:eastAsia="zh-CN" w:bidi="ar"/>
              </w:rPr>
            </w:pPr>
          </w:p>
        </w:tc>
      </w:tr>
      <w:tr w14:paraId="7ED09CF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7150C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eastAsia="宋体" w:cs="宋体"/>
                <w:b w:val="0"/>
                <w:bCs w:val="0"/>
                <w:color w:val="auto"/>
                <w:kern w:val="2"/>
                <w:sz w:val="21"/>
                <w:szCs w:val="21"/>
                <w:lang w:val="en-US" w:eastAsia="zh-CN"/>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E43F2CF">
            <w:pPr>
              <w:spacing w:line="240" w:lineRule="auto"/>
              <w:jc w:val="both"/>
              <w:rPr>
                <w:rFonts w:hint="eastAsia" w:ascii="宋体" w:hAnsi="宋体" w:eastAsia="宋体" w:cs="宋体"/>
                <w:color w:val="auto"/>
                <w:sz w:val="21"/>
                <w:szCs w:val="21"/>
                <w:lang w:val="en-US"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必须持有效的《营业执照》、《食品药品经营许可证》等一切必须具有的证件方可开业，</w:t>
            </w:r>
            <w:r>
              <w:rPr>
                <w:rFonts w:hint="eastAsia"/>
                <w:color w:val="auto"/>
                <w:highlight w:val="none"/>
              </w:rPr>
              <w:t>且营业范围包括餐饮管理或饮食管理或食品经营管理。</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CB80C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C2CD5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B5820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467BA82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47E3E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eastAsia="宋体" w:cs="宋体"/>
                <w:b w:val="0"/>
                <w:bCs w:val="0"/>
                <w:color w:val="auto"/>
                <w:kern w:val="2"/>
                <w:sz w:val="21"/>
                <w:szCs w:val="21"/>
                <w:lang w:val="en-US" w:eastAsia="zh-CN"/>
              </w:rPr>
              <w:t>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CCDF920">
            <w:pPr>
              <w:spacing w:line="240" w:lineRule="auto"/>
              <w:jc w:val="both"/>
              <w:rPr>
                <w:rFonts w:hint="eastAsia" w:ascii="宋体" w:hAnsi="宋体" w:eastAsia="宋体" w:cs="宋体"/>
                <w:sz w:val="24"/>
                <w:lang w:val="en-US" w:eastAsia="zh-CN"/>
              </w:rPr>
            </w:pPr>
            <w:r>
              <w:rPr>
                <w:rFonts w:hint="eastAsia" w:ascii="宋体" w:hAnsi="宋体" w:cs="宋体"/>
                <w:color w:val="auto"/>
                <w:szCs w:val="21"/>
                <w:highlight w:val="none"/>
              </w:rPr>
              <w:t>拟委派在本项目的负责人应为具有丰富从事集体食堂管理经验或从事医院集体食堂管理经验者。（提供相关证明材料）。</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CE92F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724405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1071E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92E664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63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4AFA0E4">
            <w:pPr>
              <w:spacing w:line="360" w:lineRule="auto"/>
              <w:ind w:firstLine="420" w:firstLineChars="200"/>
              <w:rPr>
                <w:rFonts w:hint="eastAsia" w:ascii="宋体" w:hAnsi="宋体" w:eastAsia="宋体" w:cs="宋体"/>
                <w:sz w:val="24"/>
                <w:lang w:val="en-US" w:eastAsia="zh-CN"/>
              </w:rPr>
            </w:pPr>
            <w:r>
              <w:rPr>
                <w:rFonts w:hint="eastAsia" w:ascii="宋体" w:hAnsi="宋体" w:cs="宋体"/>
                <w:color w:val="auto"/>
                <w:szCs w:val="21"/>
                <w:highlight w:val="none"/>
              </w:rPr>
              <w:t>3、项目人员管理要求：</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C77E1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C7423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85AC1B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46B7B10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1ECC2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4DA61C">
            <w:pPr>
              <w:spacing w:line="240" w:lineRule="auto"/>
              <w:jc w:val="both"/>
              <w:rPr>
                <w:rFonts w:hint="eastAsia" w:ascii="宋体" w:hAnsi="宋体" w:eastAsia="宋体" w:cs="宋体"/>
                <w:sz w:val="24"/>
                <w:lang w:val="en-US" w:eastAsia="zh-CN"/>
              </w:rPr>
            </w:pPr>
            <w:r>
              <w:rPr>
                <w:rFonts w:hint="eastAsia" w:ascii="宋体" w:hAnsi="宋体" w:cs="宋体"/>
                <w:color w:val="auto"/>
                <w:szCs w:val="21"/>
                <w:highlight w:val="none"/>
              </w:rPr>
              <w:t>拟委派本项目负责人必须配有高级或以上的《餐饮服务食品安全管理员证》的管理员（投标文件提供证书复印件，投标时提供证书原件核查）。</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67CAD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C1554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3D0C2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1A33BE9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6444B2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0C71BA">
            <w:pPr>
              <w:spacing w:line="240" w:lineRule="auto"/>
              <w:jc w:val="both"/>
              <w:rPr>
                <w:rFonts w:hint="eastAsia" w:ascii="宋体" w:hAnsi="宋体" w:eastAsia="宋体" w:cs="宋体"/>
                <w:sz w:val="24"/>
                <w:lang w:val="en-US"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应确保餐饮服务项目员工的稳定性以保证项目的服务质量。未经</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同意，</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不得随意更换本项目负责人。因故需要更换时，</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应至少提前一周向</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主管部门提出书面申请，并经</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主管部门同意后方可更换。</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FFC3B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4ED5C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D2D91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4729C22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FADE34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64AB2A">
            <w:pPr>
              <w:spacing w:line="240" w:lineRule="auto"/>
              <w:jc w:val="both"/>
              <w:rPr>
                <w:rFonts w:hint="eastAsia" w:ascii="宋体" w:hAnsi="宋体" w:eastAsia="宋体" w:cs="宋体"/>
                <w:sz w:val="24"/>
                <w:lang w:val="en-US" w:eastAsia="zh-CN"/>
              </w:rPr>
            </w:pPr>
            <w:r>
              <w:rPr>
                <w:rFonts w:hint="eastAsia" w:ascii="宋体" w:hAnsi="宋体" w:cs="宋体"/>
                <w:color w:val="auto"/>
                <w:szCs w:val="21"/>
                <w:highlight w:val="none"/>
              </w:rPr>
              <w:t>项目负责人应坚守岗位，每年在正常工作时间离开医院累积不得超过10天。如因故需临时离开医院或休息1天以内的（含1天），</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应以电话、微信等方式向</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主管部门请假，离开医院1天以上的（不含1天），应向</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主管部门提交书面请假单，请假获批离开医院前应提前安排好现场工作。</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07125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003D8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00EBA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9EE067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B22E1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320378">
            <w:pPr>
              <w:spacing w:line="240" w:lineRule="auto"/>
              <w:jc w:val="both"/>
              <w:rPr>
                <w:rFonts w:hint="eastAsia" w:ascii="宋体" w:hAnsi="宋体" w:eastAsia="宋体" w:cs="宋体"/>
                <w:sz w:val="24"/>
                <w:lang w:val="en-US" w:eastAsia="zh-CN"/>
              </w:rPr>
            </w:pPr>
            <w:r>
              <w:rPr>
                <w:rFonts w:hint="eastAsia" w:ascii="宋体" w:hAnsi="宋体" w:cs="宋体"/>
                <w:color w:val="auto"/>
                <w:szCs w:val="21"/>
                <w:highlight w:val="none"/>
              </w:rPr>
              <w:t>如</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委派的项目负责人不符合要求的（有事实依据证明不能胜任管理岗位），</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有权要求</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更换该项目管理人员至合格为止。</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接到</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书面换人通知后，应在15天内更换合格的项目管理人员到位，逾期不更换或更换的项目管理人员仍不符合要求的，</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有权单方终止合同。</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E0568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A3F4D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F929F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62B9F8A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1EC76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532842B">
            <w:pPr>
              <w:spacing w:line="240" w:lineRule="auto"/>
              <w:jc w:val="both"/>
              <w:rPr>
                <w:rFonts w:hint="eastAsia" w:ascii="宋体" w:hAnsi="宋体" w:eastAsia="宋体" w:cs="宋体"/>
                <w:sz w:val="24"/>
                <w:lang w:val="en-US" w:eastAsia="zh-CN"/>
              </w:rPr>
            </w:pPr>
            <w:r>
              <w:rPr>
                <w:rFonts w:hint="eastAsia" w:ascii="宋体" w:hAnsi="宋体" w:cs="宋体"/>
                <w:color w:val="auto"/>
                <w:szCs w:val="21"/>
                <w:highlight w:val="none"/>
              </w:rPr>
              <w:t>项目负责人应每天到现场跟进每个岗位员工的工作情况，及时解决员工在工作中遇到的困难或问题，并与所在科室沟通协调和及时反馈。每周</w:t>
            </w:r>
            <w:r>
              <w:rPr>
                <w:rFonts w:hint="eastAsia" w:ascii="宋体" w:hAnsi="宋体"/>
                <w:color w:val="auto"/>
                <w:szCs w:val="21"/>
                <w:highlight w:val="none"/>
              </w:rPr>
              <w:t>、每月进行饭堂卫生管理、服务质量自查，并记录在案，做好资料归档整理，服务质量不符合要求的实行持续改进和限期整改。</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A1E08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90C7F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8FE8A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7E7C14E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6F6C2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 xml:space="preserve"> （6）</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C11319D">
            <w:pPr>
              <w:spacing w:line="240" w:lineRule="auto"/>
              <w:jc w:val="both"/>
              <w:rPr>
                <w:rFonts w:hint="eastAsia" w:ascii="宋体" w:hAnsi="宋体" w:eastAsia="宋体" w:cs="宋体"/>
                <w:sz w:val="24"/>
                <w:lang w:val="en-US"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应确保各岗位员工的相对固定，以保证现场服务质量。如有员工离职、休息或生病等原因导致现场员工变动的，项目负责人应提前安排好岗位工作。所有新上岗人员至少进行2天培训并通过考核后方可上岗，新上岗员工的工作，特别是涉及对外窗口的（如收银），项目负责人应加强指导和监督。因新上岗人员服务质量不合格，</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有权视问题的严重情况，对</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进行</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00-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000元的扣罚。</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681143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E281B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19A622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71663E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D928D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3FBAA3">
            <w:pPr>
              <w:spacing w:line="240" w:lineRule="auto"/>
              <w:jc w:val="both"/>
              <w:rPr>
                <w:rFonts w:hint="eastAsia" w:ascii="宋体" w:hAnsi="宋体" w:eastAsia="宋体" w:cs="宋体"/>
                <w:sz w:val="24"/>
                <w:lang w:val="en-US"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应保证员工每月正常休息时间，确保员工的身心健康。</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C1A19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E05CC3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BBB4B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3D5CD4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8FCC5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（8）</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9EAA371">
            <w:pPr>
              <w:spacing w:line="240" w:lineRule="auto"/>
              <w:jc w:val="both"/>
              <w:rPr>
                <w:rFonts w:hint="eastAsia" w:ascii="宋体" w:hAnsi="宋体" w:eastAsia="宋体" w:cs="宋体"/>
                <w:sz w:val="24"/>
                <w:lang w:val="en-US"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的员工应严格遵守医院各项规章制度、疫情管控措施及操作规程，员工上班期间穿着统一的工作服、</w:t>
            </w:r>
            <w:r>
              <w:rPr>
                <w:rFonts w:hint="eastAsia" w:ascii="宋体" w:hAnsi="宋体"/>
                <w:color w:val="auto"/>
                <w:szCs w:val="21"/>
                <w:highlight w:val="none"/>
              </w:rPr>
              <w:t>规范佩戴帽子、口罩，</w:t>
            </w:r>
            <w:r>
              <w:rPr>
                <w:rFonts w:hint="eastAsia" w:ascii="宋体" w:hAnsi="宋体" w:cs="宋体"/>
                <w:color w:val="auto"/>
                <w:szCs w:val="21"/>
                <w:highlight w:val="none"/>
              </w:rPr>
              <w:t>佩戴工牌，仪表、仪容整洁。上班时间不得穿短裤、背心、睡衣、拖鞋、高跟鞋等。</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28644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C3C74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849A5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C1824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7ECD6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（9）</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389EA8">
            <w:pPr>
              <w:spacing w:line="240" w:lineRule="auto"/>
              <w:jc w:val="both"/>
              <w:rPr>
                <w:rFonts w:hint="eastAsia" w:ascii="宋体" w:hAnsi="宋体" w:eastAsia="宋体" w:cs="宋体"/>
                <w:sz w:val="24"/>
                <w:lang w:val="en-US"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的员工应接受</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的监督和管理，必须使用文明用语，做到文明服务，礼貌待人。工作认真、责任心强，尊重顾客，</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的员工严禁将本人持有的门禁卡、工牌、饭卡借给他人使用。</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C444DF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09B1F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74FCC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9454D5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19A7E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（10）</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EC69915">
            <w:pPr>
              <w:spacing w:line="240" w:lineRule="auto"/>
              <w:jc w:val="both"/>
              <w:rPr>
                <w:rFonts w:hint="eastAsia" w:ascii="宋体" w:hAnsi="宋体" w:eastAsia="宋体" w:cs="宋体"/>
                <w:sz w:val="24"/>
                <w:lang w:val="en-US"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的员工严禁聚众聊天、吵闹、打架、拉帮结派、聚集赌博、喝酒、煽动闹事等不良行为，此等行为产生的一切后果及责任由</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承担。</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95A9D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BD888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B4DE4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E2D946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E547C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（11）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946EA7E">
            <w:pPr>
              <w:spacing w:line="240" w:lineRule="auto"/>
              <w:jc w:val="both"/>
              <w:rPr>
                <w:rFonts w:hint="eastAsia" w:ascii="宋体" w:hAnsi="宋体" w:eastAsia="宋体" w:cs="宋体"/>
                <w:sz w:val="24"/>
                <w:lang w:val="en-US" w:eastAsia="zh-CN"/>
              </w:rPr>
            </w:pPr>
            <w:r>
              <w:rPr>
                <w:rFonts w:hint="eastAsia" w:ascii="宋体" w:hAnsi="宋体" w:cs="宋体"/>
                <w:color w:val="auto"/>
                <w:szCs w:val="21"/>
                <w:highlight w:val="none"/>
              </w:rPr>
              <w:t>不在岗员工不得在医院内逗留、留宿和招揽私活等行为，严禁将家属、朋友等无关人员带到工作场所。</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D809C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AC533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71E0A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6DBAF57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E4F8F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（12）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49D17C">
            <w:pPr>
              <w:spacing w:line="240" w:lineRule="auto"/>
              <w:jc w:val="both"/>
              <w:rPr>
                <w:rFonts w:hint="eastAsia" w:ascii="宋体" w:hAnsi="宋体" w:eastAsia="宋体" w:cs="宋体"/>
                <w:sz w:val="24"/>
                <w:lang w:val="en-US"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的员工应自觉维护医院信誉，爱护医院公物，节约用水、用电；不得私自使用医院各类设备设施，不得将医院的财物（包括开水、纸皮、胶瓶等废品）带离医院，严禁擅自偷窃、倒卖医院财物、废品和饭菜等，严禁违规收集和买卖医疗废物，否则将视为盗窃交由公安部门处置。</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85D69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FFA2F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79F45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2F91C73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40CE7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（13）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1F58A8">
            <w:pPr>
              <w:spacing w:line="240" w:lineRule="auto"/>
              <w:jc w:val="both"/>
              <w:rPr>
                <w:rFonts w:hint="eastAsia" w:ascii="宋体" w:hAnsi="宋体" w:eastAsia="宋体" w:cs="宋体"/>
                <w:sz w:val="24"/>
                <w:lang w:val="en-US"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的员工上班期间应坚守岗位，不得迟到、早退，不得脱岗、串岗，不得擅自离开岗位（如因临时有事离开需要向项目负责人请假，并安排有人顶岗后方可离开，未经项目负责人批准私自离岗的按缺岗处理。</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8C28D3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3C855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B267F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78F1E6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ED012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（14）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DC3534">
            <w:pPr>
              <w:spacing w:line="240" w:lineRule="auto"/>
              <w:jc w:val="both"/>
              <w:rPr>
                <w:rFonts w:hint="eastAsia" w:ascii="宋体" w:hAnsi="宋体" w:eastAsia="宋体" w:cs="宋体"/>
                <w:sz w:val="24"/>
                <w:lang w:val="en-US"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应制订员工的培训计划并实施。内容包括</w:t>
            </w:r>
            <w:r>
              <w:rPr>
                <w:rFonts w:hint="eastAsia" w:ascii="宋体" w:hAnsi="宋体"/>
                <w:color w:val="auto"/>
                <w:szCs w:val="21"/>
                <w:highlight w:val="none"/>
              </w:rPr>
              <w:t>但不限于操作流程、食品安全，消防安全、卫生知识、疫情防控相关知识等，</w:t>
            </w:r>
            <w:r>
              <w:rPr>
                <w:rFonts w:hint="eastAsia" w:ascii="宋体" w:hAnsi="宋体" w:cs="宋体"/>
                <w:color w:val="auto"/>
                <w:szCs w:val="21"/>
                <w:highlight w:val="none"/>
              </w:rPr>
              <w:t>每月对全体员工培训不少于两次，使员工熟练掌握各项专业技能和提高个人素养等。</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应建立员工培训档案并做好记录，培训照片存档备查。</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6E6DB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9ED95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BAE995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8109A3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210A3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FBBBA7">
            <w:pPr>
              <w:spacing w:line="240" w:lineRule="auto"/>
              <w:jc w:val="both"/>
              <w:rPr>
                <w:rFonts w:hint="eastAsia" w:ascii="宋体" w:hAnsi="宋体" w:eastAsia="宋体" w:cs="宋体"/>
                <w:sz w:val="24"/>
                <w:lang w:val="en-US" w:eastAsia="zh-CN"/>
              </w:rPr>
            </w:pPr>
            <w:r>
              <w:rPr>
                <w:rFonts w:hint="eastAsia" w:ascii="宋体" w:hAnsi="宋体"/>
                <w:b/>
                <w:bCs/>
                <w:color w:val="auto"/>
                <w:szCs w:val="21"/>
                <w:highlight w:val="none"/>
                <w:lang w:val="zh-CN"/>
              </w:rPr>
              <w:t>中选服务商须按</w:t>
            </w:r>
            <w:r>
              <w:rPr>
                <w:rFonts w:hint="eastAsia" w:ascii="宋体" w:hAnsi="宋体"/>
                <w:b/>
                <w:bCs/>
                <w:color w:val="auto"/>
                <w:szCs w:val="21"/>
                <w:highlight w:val="none"/>
              </w:rPr>
              <w:t>日均</w:t>
            </w:r>
            <w:r>
              <w:rPr>
                <w:rFonts w:hint="eastAsia" w:ascii="宋体" w:hAnsi="宋体"/>
                <w:b/>
                <w:bCs/>
                <w:color w:val="auto"/>
                <w:szCs w:val="21"/>
                <w:highlight w:val="none"/>
                <w:lang w:val="zh-CN"/>
              </w:rPr>
              <w:t>就餐</w:t>
            </w:r>
            <w:r>
              <w:rPr>
                <w:rFonts w:hint="eastAsia" w:ascii="宋体" w:hAnsi="宋体"/>
                <w:b/>
                <w:bCs/>
                <w:color w:val="auto"/>
                <w:szCs w:val="21"/>
                <w:highlight w:val="none"/>
              </w:rPr>
              <w:t>人数至少40</w:t>
            </w:r>
            <w:r>
              <w:rPr>
                <w:rFonts w:hint="eastAsia" w:ascii="宋体" w:hAnsi="宋体"/>
                <w:b/>
                <w:bCs/>
                <w:color w:val="auto"/>
                <w:szCs w:val="21"/>
                <w:highlight w:val="none"/>
                <w:lang w:val="zh-CN"/>
              </w:rPr>
              <w:t>:</w:t>
            </w:r>
            <w:r>
              <w:rPr>
                <w:rFonts w:hint="eastAsia" w:ascii="宋体" w:hAnsi="宋体"/>
                <w:b/>
                <w:bCs/>
                <w:color w:val="auto"/>
                <w:szCs w:val="21"/>
                <w:highlight w:val="none"/>
              </w:rPr>
              <w:t>1</w:t>
            </w:r>
            <w:r>
              <w:rPr>
                <w:rFonts w:hint="eastAsia" w:ascii="宋体" w:hAnsi="宋体"/>
                <w:b/>
                <w:bCs/>
                <w:color w:val="auto"/>
                <w:szCs w:val="21"/>
                <w:highlight w:val="none"/>
                <w:lang w:val="zh-CN"/>
              </w:rPr>
              <w:t xml:space="preserve"> 的比例配足配齐专业技术人员（包括但不仅限于厨师、点心师、营养师、管理人员、</w:t>
            </w:r>
            <w:r>
              <w:rPr>
                <w:rFonts w:hint="eastAsia" w:ascii="宋体" w:hAnsi="宋体"/>
                <w:b/>
                <w:bCs/>
                <w:color w:val="auto"/>
                <w:szCs w:val="21"/>
                <w:highlight w:val="none"/>
              </w:rPr>
              <w:t>送餐员等工作人员</w:t>
            </w:r>
            <w:r>
              <w:rPr>
                <w:rFonts w:hint="eastAsia" w:ascii="宋体" w:hAnsi="宋体"/>
                <w:b/>
                <w:bCs/>
                <w:color w:val="auto"/>
                <w:szCs w:val="21"/>
                <w:highlight w:val="none"/>
                <w:lang w:val="zh-CN"/>
              </w:rPr>
              <w:t>）的人数，以确保管理、服务到位和供餐速度。</w:t>
            </w:r>
            <w:r>
              <w:rPr>
                <w:rFonts w:hint="eastAsia" w:ascii="宋体" w:hAnsi="宋体"/>
                <w:b/>
                <w:bCs/>
                <w:color w:val="auto"/>
                <w:szCs w:val="21"/>
                <w:highlight w:val="none"/>
              </w:rPr>
              <w:t>如</w:t>
            </w:r>
            <w:r>
              <w:rPr>
                <w:rFonts w:hint="eastAsia" w:ascii="宋体" w:hAnsi="宋体"/>
                <w:b/>
                <w:bCs/>
                <w:color w:val="auto"/>
                <w:szCs w:val="21"/>
                <w:highlight w:val="none"/>
                <w:lang w:eastAsia="zh-CN"/>
              </w:rPr>
              <w:t>业主方</w:t>
            </w:r>
            <w:r>
              <w:rPr>
                <w:rFonts w:hint="eastAsia" w:ascii="宋体" w:hAnsi="宋体"/>
                <w:b/>
                <w:bCs/>
                <w:color w:val="auto"/>
                <w:szCs w:val="21"/>
                <w:highlight w:val="none"/>
              </w:rPr>
              <w:t>根据实际情况要求增加专业技术人员的，</w:t>
            </w:r>
            <w:r>
              <w:rPr>
                <w:rFonts w:hint="eastAsia" w:ascii="宋体" w:hAnsi="宋体"/>
                <w:b/>
                <w:bCs/>
                <w:color w:val="auto"/>
                <w:szCs w:val="21"/>
                <w:highlight w:val="none"/>
                <w:lang w:eastAsia="zh-CN"/>
              </w:rPr>
              <w:t>中选服务商</w:t>
            </w:r>
            <w:r>
              <w:rPr>
                <w:rFonts w:hint="eastAsia" w:ascii="宋体" w:hAnsi="宋体"/>
                <w:b/>
                <w:bCs/>
                <w:color w:val="auto"/>
                <w:szCs w:val="21"/>
                <w:highlight w:val="none"/>
              </w:rPr>
              <w:t>应按照</w:t>
            </w:r>
            <w:r>
              <w:rPr>
                <w:rFonts w:hint="eastAsia" w:ascii="宋体" w:hAnsi="宋体"/>
                <w:b/>
                <w:bCs/>
                <w:color w:val="auto"/>
                <w:szCs w:val="21"/>
                <w:highlight w:val="none"/>
                <w:lang w:eastAsia="zh-CN"/>
              </w:rPr>
              <w:t>业主方</w:t>
            </w:r>
            <w:r>
              <w:rPr>
                <w:rFonts w:hint="eastAsia" w:ascii="宋体" w:hAnsi="宋体"/>
                <w:b/>
                <w:bCs/>
                <w:color w:val="auto"/>
                <w:szCs w:val="21"/>
                <w:highlight w:val="none"/>
              </w:rPr>
              <w:t>要求进行配备。</w:t>
            </w:r>
            <w:r>
              <w:rPr>
                <w:rFonts w:hint="eastAsia" w:ascii="宋体" w:hAnsi="宋体"/>
                <w:color w:val="auto"/>
                <w:szCs w:val="21"/>
                <w:highlight w:val="none"/>
                <w:lang w:eastAsia="zh-CN"/>
              </w:rPr>
              <w:t>中选服务商</w:t>
            </w:r>
            <w:r>
              <w:rPr>
                <w:rFonts w:hint="eastAsia" w:ascii="宋体" w:hAnsi="宋体" w:cs="宋体"/>
                <w:color w:val="auto"/>
                <w:szCs w:val="21"/>
                <w:highlight w:val="none"/>
              </w:rPr>
              <w:t>应配备有至少5名粤菜、湘菜、川菜等不同口味菜式的厨师，并要配备驻点营养师和点心师等，</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所有员工应</w:t>
            </w:r>
            <w:r>
              <w:rPr>
                <w:rFonts w:hint="eastAsia" w:ascii="宋体" w:hAnsi="宋体" w:cs="宋体"/>
                <w:color w:val="auto"/>
                <w:szCs w:val="21"/>
                <w:highlight w:val="none"/>
                <w:lang w:val="en-US" w:eastAsia="zh-CN"/>
              </w:rPr>
              <w:t>服务态度好，品行良好。身体健康并能胜任岗位的工作，无传染性疾病（必须进行入职体检）、无违法犯罪记录（员工入职前中选服务商应将人员名单提交给当地派出所核查，核查无犯罪记录后才可入职，否则所造成的一切后果及责任由中选服务商承担）。</w:t>
            </w:r>
            <w:r>
              <w:rPr>
                <w:rFonts w:hint="eastAsia" w:ascii="宋体" w:hAnsi="宋体" w:cs="宋体"/>
                <w:color w:val="auto"/>
                <w:szCs w:val="21"/>
                <w:highlight w:val="none"/>
              </w:rPr>
              <w:t>所有人员名单应提交给医院主管部门备案。</w:t>
            </w:r>
            <w:r>
              <w:rPr>
                <w:rFonts w:hint="eastAsia" w:ascii="宋体" w:hAnsi="宋体" w:cs="宋体"/>
                <w:b/>
                <w:bCs/>
                <w:color w:val="auto"/>
                <w:szCs w:val="21"/>
                <w:highlight w:val="none"/>
              </w:rPr>
              <w:t>（提供承诺函）</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3B2E6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8F9D4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818CF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73BE08C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B1D0B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815E78">
            <w:pPr>
              <w:spacing w:line="240" w:lineRule="auto"/>
              <w:jc w:val="both"/>
              <w:rPr>
                <w:rFonts w:hint="eastAsia" w:ascii="宋体" w:hAnsi="宋体" w:eastAsia="宋体" w:cs="宋体"/>
                <w:sz w:val="24"/>
                <w:lang w:val="en-US"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必须遵守国家相关法律法规，遵守医院的规章制度，合法经营，按章纳税，</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入场前必须为该项目购买相应的食品、财产和人身安全保险，并将该保险复印件提交给</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备案。</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对经营过程所发生</w:t>
            </w:r>
            <w:r>
              <w:rPr>
                <w:rFonts w:hint="eastAsia" w:ascii="宋体" w:hAnsi="宋体" w:cs="宋体"/>
                <w:color w:val="auto"/>
                <w:szCs w:val="21"/>
                <w:highlight w:val="none"/>
                <w:lang w:val="en-US" w:eastAsia="zh-CN"/>
              </w:rPr>
              <w:t>的</w:t>
            </w:r>
            <w:r>
              <w:rPr>
                <w:rFonts w:hint="eastAsia" w:ascii="宋体" w:hAnsi="宋体" w:cs="宋体"/>
                <w:color w:val="auto"/>
                <w:szCs w:val="21"/>
                <w:highlight w:val="none"/>
              </w:rPr>
              <w:t>一切安全责任、债务、劳资纠纷和各种意外事件及其造成的后果负责。</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0D839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7C83A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BFCF8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7675A19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48B53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6</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9AD24D">
            <w:pPr>
              <w:spacing w:line="240" w:lineRule="auto"/>
              <w:jc w:val="both"/>
              <w:rPr>
                <w:rFonts w:hint="eastAsia" w:ascii="宋体" w:hAnsi="宋体" w:eastAsia="宋体" w:cs="宋体"/>
                <w:sz w:val="24"/>
                <w:lang w:val="en-US" w:eastAsia="zh-CN"/>
              </w:rPr>
            </w:pPr>
            <w:r>
              <w:rPr>
                <w:rFonts w:hint="eastAsia" w:ascii="宋体" w:hAnsi="宋体" w:cs="宋体"/>
                <w:color w:val="auto"/>
                <w:kern w:val="2"/>
                <w:sz w:val="21"/>
                <w:szCs w:val="21"/>
                <w:highlight w:val="none"/>
                <w:lang w:val="en-US" w:eastAsia="zh-CN" w:bidi="ar-SA"/>
              </w:rPr>
              <w:t>中选服务商</w:t>
            </w:r>
            <w:r>
              <w:rPr>
                <w:rFonts w:hint="eastAsia" w:ascii="宋体" w:hAnsi="宋体" w:eastAsia="宋体" w:cs="宋体"/>
                <w:color w:val="auto"/>
                <w:kern w:val="2"/>
                <w:sz w:val="21"/>
                <w:szCs w:val="21"/>
                <w:highlight w:val="none"/>
                <w:lang w:val="en-US" w:eastAsia="zh-CN" w:bidi="ar-SA"/>
              </w:rPr>
              <w:t>的法人为食堂消防、治安、食品卫生及安全生产的第一责任人，做好饭堂的消防安全工作，按照国家消防安全标准安装和配置必要的性能完好的消防设施设备，并定期接受</w:t>
            </w:r>
            <w:r>
              <w:rPr>
                <w:rFonts w:hint="eastAsia" w:ascii="宋体" w:hAnsi="宋体" w:cs="宋体"/>
                <w:color w:val="auto"/>
                <w:kern w:val="2"/>
                <w:sz w:val="21"/>
                <w:szCs w:val="21"/>
                <w:highlight w:val="none"/>
                <w:lang w:val="en-US" w:eastAsia="zh-CN" w:bidi="ar-SA"/>
              </w:rPr>
              <w:t>业主方</w:t>
            </w:r>
            <w:r>
              <w:rPr>
                <w:rFonts w:hint="eastAsia" w:ascii="宋体" w:hAnsi="宋体" w:eastAsia="宋体" w:cs="宋体"/>
                <w:color w:val="auto"/>
                <w:kern w:val="2"/>
                <w:sz w:val="21"/>
                <w:szCs w:val="21"/>
                <w:highlight w:val="none"/>
                <w:lang w:val="en-US" w:eastAsia="zh-CN" w:bidi="ar-SA"/>
              </w:rPr>
              <w:t>及相关机构的监督检查。食堂内发生的消防安全及设备、燃气、油烟系统、电源（炉灶、各种炊事设备）等事故，由</w:t>
            </w:r>
            <w:r>
              <w:rPr>
                <w:rFonts w:hint="eastAsia" w:ascii="宋体" w:hAnsi="宋体" w:cs="宋体"/>
                <w:color w:val="auto"/>
                <w:kern w:val="2"/>
                <w:sz w:val="21"/>
                <w:szCs w:val="21"/>
                <w:highlight w:val="none"/>
                <w:lang w:val="en-US" w:eastAsia="zh-CN" w:bidi="ar-SA"/>
              </w:rPr>
              <w:t>中选服务商</w:t>
            </w:r>
            <w:r>
              <w:rPr>
                <w:rFonts w:hint="eastAsia" w:ascii="宋体" w:hAnsi="宋体" w:eastAsia="宋体" w:cs="宋体"/>
                <w:color w:val="auto"/>
                <w:kern w:val="2"/>
                <w:sz w:val="21"/>
                <w:szCs w:val="21"/>
                <w:highlight w:val="none"/>
                <w:lang w:val="en-US" w:eastAsia="zh-CN" w:bidi="ar-SA"/>
              </w:rPr>
              <w:t>承担一切责任。</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A7E40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F443D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02D19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4C52EC0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2B4FD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7</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C6B6D5">
            <w:pPr>
              <w:spacing w:line="240" w:lineRule="auto"/>
              <w:jc w:val="both"/>
              <w:rPr>
                <w:rFonts w:hint="eastAsia" w:ascii="宋体" w:hAnsi="宋体" w:eastAsia="宋体" w:cs="宋体"/>
                <w:sz w:val="24"/>
                <w:lang w:val="en-US"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不得将食堂私自转让或委托他人经营，更不能利用</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资源进行非法经营，一经发现，</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有权取消其承包资格，并给予经济处罚或追究法律责任。</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F30C2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6C885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00CCE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706EA6D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41E831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8</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17D2E99">
            <w:pPr>
              <w:spacing w:line="240" w:lineRule="auto"/>
              <w:jc w:val="both"/>
              <w:rPr>
                <w:rFonts w:hint="eastAsia" w:ascii="宋体" w:hAnsi="宋体" w:eastAsia="宋体" w:cs="宋体"/>
                <w:sz w:val="24"/>
                <w:lang w:val="en-US"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所采购、制作、销售的食品质量要求必须符合国家的卫生、安全标准，并对其食品负责，并承担其造成的一切后果。因承包者责任造成食物中毒、消防安全或</w:t>
            </w:r>
            <w:r>
              <w:rPr>
                <w:rFonts w:hint="eastAsia" w:ascii="宋体" w:hAnsi="宋体" w:cs="宋体"/>
                <w:color w:val="auto"/>
                <w:szCs w:val="21"/>
                <w:highlight w:val="none"/>
                <w:lang w:eastAsia="zh-CN"/>
              </w:rPr>
              <w:t>其他安全</w:t>
            </w:r>
            <w:r>
              <w:rPr>
                <w:rFonts w:hint="eastAsia" w:ascii="宋体" w:hAnsi="宋体" w:cs="宋体"/>
                <w:color w:val="auto"/>
                <w:szCs w:val="21"/>
                <w:highlight w:val="none"/>
              </w:rPr>
              <w:t>责任事故等造成严重事故的，</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有权单方终止合同并保留追究责任的权利。如</w:t>
            </w:r>
            <w:r>
              <w:rPr>
                <w:rFonts w:hint="eastAsia" w:ascii="宋体" w:hAnsi="宋体" w:cs="宋体"/>
                <w:color w:val="auto"/>
                <w:szCs w:val="21"/>
                <w:highlight w:val="none"/>
                <w:lang w:val="zh-CN"/>
              </w:rPr>
              <w:t>对业主方造成财产或声誉损害的，中选服务商应承担赔偿责任。</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52F5D9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23B3A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4C31F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74638E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9BDB3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9</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14D8F6">
            <w:pPr>
              <w:spacing w:line="240" w:lineRule="auto"/>
              <w:jc w:val="both"/>
              <w:rPr>
                <w:rFonts w:hint="eastAsia" w:ascii="宋体" w:hAnsi="宋体" w:eastAsia="宋体" w:cs="宋体"/>
                <w:sz w:val="24"/>
                <w:lang w:val="en-US"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必须在指定场地和区域内进行生产和经营，严禁在医疗区域兜售食物。</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EA66C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B20C2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E3E8B9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4FF4277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1EDB6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10</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AFE715">
            <w:pPr>
              <w:spacing w:line="240" w:lineRule="auto"/>
              <w:jc w:val="both"/>
              <w:rPr>
                <w:rFonts w:hint="eastAsia" w:ascii="宋体" w:hAnsi="宋体" w:eastAsia="宋体" w:cs="宋体"/>
                <w:sz w:val="24"/>
                <w:lang w:val="en-US"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所从事的任何业务不能以小榄人民医院名义对外发布，禁止张贴出现有法律规定在医疗单位不得出现的标志、标识等（如香烟广告等）。</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10951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2A8A7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743D7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1E3B0DF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99D14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11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1A5855">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 xml:space="preserve">不得在经营区域内储存任何易燃、易爆、腐蚀性物品及其他危险物品，严禁销售奶瓶、奶嘴、烟草、酒品及国家禁止的药品、伪劣产品及超出经营范围的商品。 </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B6146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6106A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5FBBE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2D34884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0BAEC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12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C135FB">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提供的基础设备、设施等，由</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负责维护和保养，如有损坏或需要维修，由</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负责。</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991BA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28ECB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343D8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030C5B6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EBE38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079450">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必须加强对雇用员工的教育与管理，严禁在医院进行非法活动，</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员工所发生的一切纠纷或意外事故由</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负责。</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0100E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2E640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EAAC04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75FE5A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47782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14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913A2E6">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必须文明守法，按章纳税，随时接受</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及政府行政管理部门、治安、消防管理部门的监督和检查。</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88E09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CB9FB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8F5FA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0179572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9A76C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902965">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的员工应遵守餐饮操作规范、法律法规及医院的规章制度要求。员工应注意个人卫生，勤洗手，每天勤换衣着整齐干净，接触食品的员工在工作时戴帽子（头发不得外露）、口罩等，不得佩戴戒指、手镯等饰品。所有员工必须通过培训后，持有健康证方可上岗，患有国家规定的传染病者严禁上岗，患有发热、腹泻、手部皮肤有伤口或感染等情况的员工应立即脱离工作岗位，并在治疗至痊愈或污染食品的可能被排除后，方可恢复上岗。员工必须每年体检一次，体检等费用由承包者负责。</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BE4DB2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4E891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DE493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0F963CD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742E20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16</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A64C8F">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必须</w:t>
            </w:r>
            <w:r>
              <w:rPr>
                <w:rFonts w:hint="eastAsia" w:ascii="宋体" w:hAnsi="宋体" w:cs="宋体"/>
                <w:color w:val="auto"/>
                <w:szCs w:val="21"/>
                <w:highlight w:val="none"/>
                <w:lang w:eastAsia="zh-CN"/>
              </w:rPr>
              <w:t>按照</w:t>
            </w:r>
            <w:r>
              <w:rPr>
                <w:rFonts w:hint="eastAsia" w:ascii="宋体" w:hAnsi="宋体" w:cs="宋体"/>
                <w:color w:val="auto"/>
                <w:szCs w:val="21"/>
                <w:highlight w:val="none"/>
              </w:rPr>
              <w:t>《</w:t>
            </w:r>
            <w:r>
              <w:rPr>
                <w:rFonts w:hint="eastAsia" w:ascii="宋体" w:hAnsi="宋体" w:cs="宋体"/>
                <w:color w:val="auto"/>
                <w:szCs w:val="21"/>
                <w:highlight w:val="none"/>
                <w:lang w:eastAsia="zh-CN"/>
              </w:rPr>
              <w:t>中华人民共和国劳动合同法</w:t>
            </w:r>
            <w:r>
              <w:rPr>
                <w:rFonts w:hint="eastAsia" w:ascii="宋体" w:hAnsi="宋体" w:cs="宋体"/>
                <w:color w:val="auto"/>
                <w:szCs w:val="21"/>
                <w:highlight w:val="none"/>
              </w:rPr>
              <w:t>》等国家法律法规为所有员工缴纳各种社会保险（包括养老、医疗、工伤、生</w:t>
            </w:r>
            <w:r>
              <w:rPr>
                <w:rFonts w:hint="eastAsia" w:ascii="宋体" w:hAnsi="宋体" w:cs="宋体"/>
                <w:color w:val="auto"/>
                <w:szCs w:val="21"/>
                <w:highlight w:val="none"/>
                <w:lang w:eastAsia="zh-CN"/>
              </w:rPr>
              <w:t>育保</w:t>
            </w:r>
            <w:r>
              <w:rPr>
                <w:rFonts w:hint="eastAsia" w:ascii="宋体" w:hAnsi="宋体" w:cs="宋体"/>
                <w:color w:val="auto"/>
                <w:szCs w:val="21"/>
                <w:highlight w:val="none"/>
              </w:rPr>
              <w:t>险、失业保险等），</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与其员工发生的劳资纠纷、疾病、工伤等一切纠纷、责任事件由</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负责。因</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过失造成严重事故的，</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有权单方终止合同并保留追究责任的权利。</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B709C2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E2225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89FE82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712CD89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5D547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Fonts w:hint="eastAsia" w:ascii="宋体" w:hAnsi="宋体"/>
                <w:color w:val="auto"/>
                <w:szCs w:val="21"/>
                <w:highlight w:val="none"/>
              </w:rPr>
              <w:t>▲</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7</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992667">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根据三甲医院评审的服务要求，制定并不断完善食品操作（准备、处理、贮存、运送、留样等）标准与程序、员工岗位职责及食品安全相关管理制度，在适当位置加设公示牌，列明工作要求以及管理方法。积极配合</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或公安、消防、安监、食品安全、卫生防疫等部门做好卫生</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szCs w:val="21"/>
                <w:highlight w:val="none"/>
              </w:rPr>
              <w:t>食品安全、</w:t>
            </w:r>
            <w:r>
              <w:rPr>
                <w:rFonts w:hint="eastAsia" w:ascii="宋体" w:hAnsi="宋体" w:eastAsia="宋体" w:cs="宋体"/>
                <w:color w:val="auto"/>
                <w:kern w:val="2"/>
                <w:sz w:val="21"/>
                <w:szCs w:val="21"/>
                <w:highlight w:val="none"/>
                <w:lang w:val="en-US" w:eastAsia="zh-CN" w:bidi="ar-SA"/>
              </w:rPr>
              <w:t>消防安全</w:t>
            </w:r>
            <w:r>
              <w:rPr>
                <w:rFonts w:hint="eastAsia" w:ascii="宋体" w:hAnsi="宋体" w:cs="宋体"/>
                <w:color w:val="auto"/>
                <w:szCs w:val="21"/>
                <w:highlight w:val="none"/>
              </w:rPr>
              <w:t>的宣传及管理工作。</w:t>
            </w:r>
            <w:r>
              <w:rPr>
                <w:rFonts w:hint="eastAsia" w:ascii="宋体" w:hAnsi="宋体" w:cs="宋体"/>
                <w:color w:val="auto"/>
                <w:szCs w:val="21"/>
                <w:highlight w:val="none"/>
                <w:lang w:eastAsia="zh-CN"/>
              </w:rPr>
              <w:t>响应服务商</w:t>
            </w:r>
            <w:r>
              <w:rPr>
                <w:rFonts w:hint="eastAsia" w:ascii="宋体" w:hAnsi="宋体" w:cs="宋体"/>
                <w:color w:val="auto"/>
                <w:szCs w:val="21"/>
                <w:highlight w:val="none"/>
              </w:rPr>
              <w:t>生产、运输及机构内分送场所的设施与卫生条件符合国家食品卫生法规要求，</w:t>
            </w:r>
            <w:r>
              <w:rPr>
                <w:rFonts w:hint="eastAsia" w:ascii="宋体" w:hAnsi="宋体" w:eastAsia="宋体" w:cs="宋体"/>
                <w:color w:val="auto"/>
                <w:kern w:val="2"/>
                <w:sz w:val="21"/>
                <w:szCs w:val="21"/>
                <w:highlight w:val="none"/>
                <w:lang w:val="en-US" w:eastAsia="zh-CN" w:bidi="ar-SA"/>
              </w:rPr>
              <w:t>有突发食品安全事件、消防等应急预案并根据预案开展的应急演练，食品安全演练每年最少一次，消防演练每年最少二次</w:t>
            </w:r>
            <w:r>
              <w:rPr>
                <w:rFonts w:hint="eastAsia" w:ascii="宋体" w:hAnsi="宋体" w:cs="宋体"/>
                <w:color w:val="auto"/>
                <w:kern w:val="2"/>
                <w:sz w:val="21"/>
                <w:szCs w:val="21"/>
                <w:highlight w:val="none"/>
                <w:lang w:val="en-US" w:eastAsia="zh-CN" w:bidi="ar-SA"/>
              </w:rPr>
              <w:t>，</w:t>
            </w:r>
            <w:r>
              <w:rPr>
                <w:rFonts w:hint="eastAsia" w:ascii="宋体" w:hAnsi="宋体"/>
                <w:color w:val="auto"/>
                <w:szCs w:val="21"/>
                <w:highlight w:val="none"/>
              </w:rPr>
              <w:t>有演练记录、有总结和改进措施。</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7DEF88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A3E46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E2853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7E7C646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7BEB31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18</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0AD922">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应建立完善的投诉事件处理制度与流程，工作人员应有良好的服务态度，及时解决</w:t>
            </w:r>
            <w:r>
              <w:rPr>
                <w:rFonts w:hint="eastAsia" w:ascii="宋体" w:hAnsi="宋体" w:cs="宋体"/>
                <w:color w:val="auto"/>
                <w:szCs w:val="21"/>
                <w:highlight w:val="none"/>
                <w:lang w:val="en-US" w:eastAsia="zh-CN"/>
              </w:rPr>
              <w:t>医院职工</w:t>
            </w:r>
            <w:r>
              <w:rPr>
                <w:rFonts w:hint="eastAsia" w:ascii="宋体" w:hAnsi="宋体" w:cs="宋体"/>
                <w:color w:val="auto"/>
                <w:szCs w:val="21"/>
                <w:highlight w:val="none"/>
              </w:rPr>
              <w:t>或患者及家属反映的问题，确保</w:t>
            </w:r>
            <w:r>
              <w:rPr>
                <w:rFonts w:hint="eastAsia" w:ascii="宋体" w:hAnsi="宋体" w:cs="宋体"/>
                <w:color w:val="auto"/>
                <w:szCs w:val="21"/>
                <w:highlight w:val="none"/>
                <w:lang w:val="en-US" w:eastAsia="zh-CN"/>
              </w:rPr>
              <w:t>职工满意度、患者</w:t>
            </w:r>
            <w:r>
              <w:rPr>
                <w:rFonts w:hint="eastAsia" w:ascii="宋体" w:hAnsi="宋体" w:cs="宋体"/>
                <w:color w:val="auto"/>
                <w:szCs w:val="21"/>
                <w:highlight w:val="none"/>
              </w:rPr>
              <w:t>满意</w:t>
            </w:r>
            <w:r>
              <w:rPr>
                <w:rFonts w:hint="eastAsia" w:ascii="宋体" w:hAnsi="宋体" w:cs="宋体"/>
                <w:color w:val="auto"/>
                <w:szCs w:val="21"/>
                <w:highlight w:val="none"/>
                <w:lang w:val="en-US" w:eastAsia="zh-CN"/>
              </w:rPr>
              <w:t>度</w:t>
            </w:r>
            <w:r>
              <w:rPr>
                <w:rFonts w:hint="eastAsia" w:ascii="宋体" w:hAnsi="宋体" w:cs="宋体"/>
                <w:color w:val="auto"/>
                <w:szCs w:val="21"/>
                <w:highlight w:val="none"/>
              </w:rPr>
              <w:t>达到</w:t>
            </w:r>
            <w:r>
              <w:rPr>
                <w:rFonts w:hint="eastAsia" w:ascii="宋体" w:hAnsi="宋体" w:cs="宋体"/>
                <w:color w:val="auto"/>
                <w:szCs w:val="21"/>
                <w:highlight w:val="none"/>
                <w:lang w:val="en-US" w:eastAsia="zh-CN"/>
              </w:rPr>
              <w:t>85</w:t>
            </w:r>
            <w:r>
              <w:rPr>
                <w:rFonts w:hint="eastAsia" w:ascii="宋体" w:hAnsi="宋体" w:cs="宋体"/>
                <w:color w:val="auto"/>
                <w:szCs w:val="21"/>
                <w:highlight w:val="none"/>
              </w:rPr>
              <w:t>%以上。禁止与医院员工、患者及家属发生争吵或冲突。凡是经核实的投诉，按</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00元/次进行处罚。</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C5AC7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55759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1266D2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3F6F8F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22B9D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19</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0F7863">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rPr>
              <w:t>不断完善各项管理规章制度、人力资源管理方案、具体的日常岗位工作安排、应急管理方案、员工管理制度和奖惩等职责制度并提交给招标人备案，招标人有权要求修订相关制度并监督执行，有权查阅</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的财务状况及财务报表。</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F7271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DCB69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0D8BC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457BB0F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C5375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20</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6F4764">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rPr>
              <w:t>做好台账记录，包括餐具消毒记录、</w:t>
            </w:r>
            <w:r>
              <w:rPr>
                <w:rFonts w:hint="eastAsia" w:ascii="宋体" w:hAnsi="宋体" w:cs="宋体"/>
                <w:color w:val="auto"/>
                <w:szCs w:val="21"/>
                <w:highlight w:val="none"/>
                <w:lang w:eastAsia="zh-CN"/>
              </w:rPr>
              <w:t>响应服务商</w:t>
            </w:r>
            <w:r>
              <w:rPr>
                <w:rFonts w:hint="eastAsia" w:ascii="宋体" w:hAnsi="宋体" w:cs="宋体"/>
                <w:color w:val="auto"/>
                <w:szCs w:val="21"/>
                <w:highlight w:val="none"/>
              </w:rPr>
              <w:t>资质台账、餐厨垃圾收运记录等，按要求定时整理和归档资料，妥善保存，以备检查。</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12A58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1887E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9DACE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460202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A8619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21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DFA3B65">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按照</w:t>
            </w:r>
            <w:r>
              <w:rPr>
                <w:rFonts w:hint="eastAsia" w:ascii="宋体" w:hAnsi="宋体" w:cs="宋体"/>
                <w:color w:val="auto"/>
                <w:szCs w:val="21"/>
                <w:highlight w:val="none"/>
              </w:rPr>
              <w:t>三甲医院的管理要求，开展持续改进。包括对医院反馈问题整改落实措施、效果，定期总结并书面向招标人汇报。</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6AFFCF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CE604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750B5A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6E01835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63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AF52B7">
            <w:pPr>
              <w:spacing w:line="360" w:lineRule="auto"/>
              <w:ind w:firstLine="420" w:firstLineChars="200"/>
              <w:rPr>
                <w:rFonts w:hint="eastAsia" w:ascii="宋体" w:hAnsi="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、节能环保要求。</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AF72D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26475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AE2273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67365E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881E60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①</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B48A8D">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rPr>
              <w:t>协助</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创建国家型节约能源公共机构的相关工作，积极开展节能工作，做到节能减排、绿色环保。</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A6BFB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F846B7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E88018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6E63188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94D89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②</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C8E7E9">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rPr>
              <w:t>实行绿色采购，严格执行国家有关强制采购或优先采购节能产品和技术的规定，采购列入《节能产品政府采购清单》、《环境标志产品政府采购清单》的产品和能效“领跑者”产品。</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010ED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0EC6C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9BE08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0F57861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DE8DD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★③</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BECE55D">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rPr>
              <w:t>采取减少一次性餐具使用的措施。禁止、限制使用不可降解塑料袋、一次性塑料餐具，积极推广使用符合性能和食品安全要求的生物基产品、可降解塑料袋等替代产品，不向顾客主动提供一次性餐具用品，</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的环保节能工作纳入日常考核，一次性餐具须使用环保符合卫生且可回收的餐具（具有环保符号），不得使用发泡产品，须提供样品样本供</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确认后方可使用。</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06C203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6B7D7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D1D891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18F4D6D6">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C446E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④</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E55DF9">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的服务及所使用的物品、用具、材料不得违反国家有关环卫、环保相关制度和管理规定，不得对医院的环境造成二次污染；</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有权对相关事宜进行检查和评估，有权拒绝使用不符合标准的材料，并进行一定金额处罚。</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E2238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77CA5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F7C44D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65976B0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9514D4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13ED9DF">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提供现有的设备、设施给</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使用，</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必须爱护</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提供的各项设备、设施。</w:t>
            </w:r>
            <w:r>
              <w:rPr>
                <w:rFonts w:hint="eastAsia" w:ascii="宋体" w:hAnsi="宋体"/>
                <w:color w:val="auto"/>
                <w:szCs w:val="21"/>
                <w:highlight w:val="none"/>
                <w:lang w:val="zh-CN"/>
              </w:rPr>
              <w:t xml:space="preserve"> 经业主方盘点后开列清单提供给中选服务商使用，维</w:t>
            </w:r>
            <w:r>
              <w:rPr>
                <w:rFonts w:hint="eastAsia" w:ascii="宋体" w:hAnsi="宋体"/>
                <w:color w:val="auto"/>
                <w:szCs w:val="21"/>
                <w:highlight w:val="none"/>
              </w:rPr>
              <w:t>护</w:t>
            </w:r>
            <w:r>
              <w:rPr>
                <w:rFonts w:hint="eastAsia" w:ascii="宋体" w:hAnsi="宋体"/>
                <w:color w:val="auto"/>
                <w:szCs w:val="21"/>
                <w:highlight w:val="none"/>
                <w:lang w:val="zh-CN"/>
              </w:rPr>
              <w:t>费用由中选服务商</w:t>
            </w:r>
            <w:r>
              <w:rPr>
                <w:rFonts w:hint="eastAsia" w:ascii="宋体" w:hAnsi="宋体"/>
                <w:color w:val="auto"/>
                <w:szCs w:val="21"/>
                <w:highlight w:val="none"/>
              </w:rPr>
              <w:t>承担</w:t>
            </w:r>
            <w:r>
              <w:rPr>
                <w:rFonts w:hint="eastAsia" w:ascii="宋体" w:hAnsi="宋体"/>
                <w:color w:val="auto"/>
                <w:szCs w:val="21"/>
                <w:highlight w:val="none"/>
                <w:lang w:val="zh-CN"/>
              </w:rPr>
              <w:t>；合同期满后，中选服务商应按清单记载内容将相关设施设备完好交回于业主方，并在双方参加下做好交接手续。</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需要对承包区域进行装修、改造等改动时，必须书面征得</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同意后方可实施，所产生的费用由</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负责。</w:t>
            </w:r>
            <w:r>
              <w:rPr>
                <w:rFonts w:hint="eastAsia" w:ascii="宋体" w:hAnsi="宋体"/>
                <w:color w:val="auto"/>
                <w:szCs w:val="21"/>
                <w:highlight w:val="none"/>
                <w:lang w:val="zh-CN"/>
              </w:rPr>
              <w:t>添置或更新设施由响应服务商负责，费用自理。</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经营期间必须保证房屋、基础建设及设备设施的完好性，如有损坏由</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负责相应的费用。承包期满</w:t>
            </w:r>
            <w:r>
              <w:rPr>
                <w:rFonts w:hint="eastAsia" w:ascii="宋体" w:hAnsi="宋体"/>
                <w:color w:val="auto"/>
                <w:szCs w:val="21"/>
                <w:highlight w:val="none"/>
                <w:lang w:val="zh-CN"/>
              </w:rPr>
              <w:t>响应服务商撤场后10个工作日内，</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可以拆除属于</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的可移动的设备、设施，</w:t>
            </w:r>
            <w:r>
              <w:rPr>
                <w:rFonts w:hint="eastAsia" w:ascii="宋体" w:hAnsi="宋体"/>
                <w:color w:val="auto"/>
                <w:szCs w:val="21"/>
                <w:highlight w:val="none"/>
                <w:lang w:val="zh-CN"/>
              </w:rPr>
              <w:t>但处置后不得遗留安全隐患，逾期不处理的，归业主方所有。</w:t>
            </w:r>
            <w:r>
              <w:rPr>
                <w:rFonts w:hint="eastAsia" w:ascii="宋体" w:hAnsi="宋体" w:cs="宋体"/>
                <w:color w:val="auto"/>
                <w:szCs w:val="21"/>
                <w:highlight w:val="none"/>
              </w:rPr>
              <w:t>固定的、不能拆卸的设备设施不得拆除、破坏，</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不承担其转让工作。</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EDE568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FBC5E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80804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1B9C317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E3BC38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4142D4">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必须密切配合</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的工作需要，对医院临时交付的任务能按要求完成并配合接受上级部门的检查。</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75035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3E26A0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EF57F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4B90931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37CAC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48914B">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不得将餐厅私自转让（含窗口分包）或委托他人经营，更不能在公司内搞不法经营，不得对外经营。</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50AFB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E759B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44FBFA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4FCB3B9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98F71A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6</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33FD96C">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负责承包区域治安保卫、安全防火、防盗等工作，服从</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的统一管理，确保安全无事故。</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76FE6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0CECB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59F3A3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908F93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5F7C24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27</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96CD224">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响应服务商</w:t>
            </w:r>
            <w:r>
              <w:rPr>
                <w:rFonts w:hint="eastAsia" w:ascii="宋体" w:hAnsi="宋体" w:cs="宋体"/>
                <w:color w:val="auto"/>
                <w:szCs w:val="21"/>
                <w:highlight w:val="none"/>
              </w:rPr>
              <w:t>应提供舒适的就餐环境，当温度≥28℃时应保证空调的正常开启，并定期检查空调、风扇等降温设备的完好性。</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CB562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1C870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72EA2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0BC2894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378B0B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28</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B1A3ED">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应落实</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、政府机关、其他上级管理部门下达的关于</w:t>
            </w:r>
            <w:r>
              <w:rPr>
                <w:rFonts w:hint="eastAsia" w:ascii="宋体" w:hAnsi="宋体" w:cs="宋体"/>
                <w:color w:val="auto"/>
                <w:szCs w:val="21"/>
                <w:highlight w:val="none"/>
                <w:lang w:val="en-US" w:eastAsia="zh-CN"/>
              </w:rPr>
              <w:t>安全生产、食品安全、节能降耗</w:t>
            </w:r>
            <w:r>
              <w:rPr>
                <w:rFonts w:hint="eastAsia" w:ascii="宋体" w:hAnsi="宋体" w:cs="宋体"/>
                <w:color w:val="auto"/>
                <w:szCs w:val="21"/>
                <w:highlight w:val="none"/>
              </w:rPr>
              <w:t>等方面文件要求，如有改革应积极执行，相关费用由</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自行承担。</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A163C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C5CE8A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C1AA5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288579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4691B5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29</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3EB43C0">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有特殊任务或应急事件等情况需要紧急提供餐饮服务时，如突发事件、上级检查、</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重要的大型活动、</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认为重要的</w:t>
            </w:r>
            <w:r>
              <w:rPr>
                <w:rFonts w:hint="eastAsia" w:ascii="宋体" w:hAnsi="宋体" w:cs="宋体"/>
                <w:color w:val="auto"/>
                <w:szCs w:val="21"/>
                <w:highlight w:val="none"/>
                <w:lang w:eastAsia="zh-CN"/>
              </w:rPr>
              <w:t>其他</w:t>
            </w:r>
            <w:r>
              <w:rPr>
                <w:rFonts w:hint="eastAsia" w:ascii="宋体" w:hAnsi="宋体" w:cs="宋体"/>
                <w:color w:val="auto"/>
                <w:szCs w:val="21"/>
                <w:highlight w:val="none"/>
              </w:rPr>
              <w:t>事件等，</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及其员工应积极配合和服从</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的调遣、指挥并参与应急或加班工作，费用不另外追加。</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824A47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AF529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B6989F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2ED58D8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27B5A2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30</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58EC46">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rPr>
              <w:t>应配置农药检验检测仪，用于抽验蔬果农药残留，并做好检验台账，必要时由</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检验科检查检测情况。</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0172B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713A3F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C0732F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869C69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CF33D5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Fonts w:hint="eastAsia" w:ascii="宋体" w:hAnsi="宋体" w:cs="宋体"/>
                <w:bCs/>
                <w:color w:val="auto"/>
                <w:szCs w:val="21"/>
                <w:highlight w:val="none"/>
              </w:rPr>
              <w:t>★</w:t>
            </w:r>
            <w:r>
              <w:rPr>
                <w:rFonts w:hint="eastAsia" w:ascii="宋体" w:hAnsi="宋体"/>
                <w:bCs/>
                <w:color w:val="auto"/>
                <w:szCs w:val="21"/>
                <w:highlight w:val="none"/>
              </w:rPr>
              <w:t>3</w:t>
            </w:r>
            <w:r>
              <w:rPr>
                <w:rFonts w:hint="eastAsia" w:ascii="宋体" w:hAnsi="宋体"/>
                <w:bCs/>
                <w:color w:val="auto"/>
                <w:szCs w:val="21"/>
                <w:highlight w:val="none"/>
                <w:lang w:val="en-US" w:eastAsia="zh-CN"/>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C7EE65">
            <w:pPr>
              <w:spacing w:line="240" w:lineRule="auto"/>
              <w:jc w:val="both"/>
              <w:rPr>
                <w:rFonts w:hint="eastAsia" w:ascii="宋体" w:hAnsi="宋体" w:cs="宋体"/>
                <w:color w:val="auto"/>
                <w:szCs w:val="21"/>
                <w:highlight w:val="none"/>
                <w:lang w:eastAsia="zh-CN"/>
              </w:rPr>
            </w:pPr>
            <w:r>
              <w:rPr>
                <w:rFonts w:hint="eastAsia" w:ascii="宋体" w:hAnsi="宋体"/>
                <w:bCs/>
                <w:color w:val="auto"/>
                <w:szCs w:val="21"/>
                <w:highlight w:val="none"/>
              </w:rPr>
              <w:t>合同终止时，</w:t>
            </w:r>
            <w:r>
              <w:rPr>
                <w:rFonts w:hint="eastAsia" w:ascii="宋体" w:hAnsi="宋体"/>
                <w:bCs/>
                <w:color w:val="auto"/>
                <w:szCs w:val="21"/>
                <w:highlight w:val="none"/>
                <w:lang w:eastAsia="zh-CN"/>
              </w:rPr>
              <w:t>中选服务商</w:t>
            </w:r>
            <w:r>
              <w:rPr>
                <w:rFonts w:hint="eastAsia" w:ascii="宋体" w:hAnsi="宋体"/>
                <w:bCs/>
                <w:color w:val="auto"/>
                <w:szCs w:val="21"/>
                <w:highlight w:val="none"/>
              </w:rPr>
              <w:t>应将</w:t>
            </w:r>
            <w:r>
              <w:rPr>
                <w:rFonts w:hint="eastAsia" w:ascii="宋体" w:hAnsi="宋体"/>
                <w:bCs/>
                <w:color w:val="auto"/>
                <w:szCs w:val="21"/>
                <w:highlight w:val="none"/>
                <w:lang w:eastAsia="zh-CN"/>
              </w:rPr>
              <w:t>业主方</w:t>
            </w:r>
            <w:r>
              <w:rPr>
                <w:rFonts w:hint="eastAsia" w:ascii="宋体" w:hAnsi="宋体"/>
                <w:bCs/>
                <w:color w:val="auto"/>
                <w:szCs w:val="21"/>
                <w:highlight w:val="none"/>
              </w:rPr>
              <w:t>所需保存的所有培训资料</w:t>
            </w:r>
            <w:r>
              <w:rPr>
                <w:rFonts w:hint="eastAsia" w:asciiTheme="minorEastAsia" w:hAnsiTheme="minorEastAsia" w:eastAsiaTheme="minorEastAsia"/>
                <w:color w:val="auto"/>
                <w:szCs w:val="21"/>
                <w:highlight w:val="none"/>
              </w:rPr>
              <w:t>（签到表、培训内容、培训总结、培训照片等）</w:t>
            </w:r>
            <w:r>
              <w:rPr>
                <w:rFonts w:hint="eastAsia" w:ascii="宋体" w:hAnsi="宋体"/>
                <w:bCs/>
                <w:color w:val="auto"/>
                <w:szCs w:val="21"/>
                <w:highlight w:val="none"/>
              </w:rPr>
              <w:t>及经营、管理原始资料移交给</w:t>
            </w:r>
            <w:r>
              <w:rPr>
                <w:rFonts w:hint="eastAsia" w:ascii="宋体" w:hAnsi="宋体"/>
                <w:bCs/>
                <w:color w:val="auto"/>
                <w:szCs w:val="21"/>
                <w:highlight w:val="none"/>
                <w:lang w:eastAsia="zh-CN"/>
              </w:rPr>
              <w:t>业主方</w:t>
            </w:r>
            <w:r>
              <w:rPr>
                <w:rFonts w:hint="eastAsia" w:ascii="宋体" w:hAnsi="宋体"/>
                <w:bCs/>
                <w:color w:val="auto"/>
                <w:szCs w:val="21"/>
                <w:highlight w:val="none"/>
              </w:rPr>
              <w:t>，并完成所有交接手续后方可撤场。</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F8B95F1">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EAF7C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FE071B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09555CF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10928" w:type="dxa"/>
            <w:gridSpan w:val="5"/>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1E22E9">
            <w:pPr>
              <w:spacing w:line="360" w:lineRule="auto"/>
              <w:rPr>
                <w:rStyle w:val="33"/>
                <w:rFonts w:hint="eastAsia" w:ascii="宋体" w:hAnsi="宋体" w:eastAsia="宋体" w:cs="宋体"/>
                <w:b w:val="0"/>
                <w:bCs w:val="0"/>
                <w:color w:val="auto"/>
                <w:kern w:val="2"/>
                <w:sz w:val="21"/>
                <w:szCs w:val="21"/>
                <w:lang w:val="zh-TW" w:eastAsia="zh-TW"/>
              </w:rPr>
            </w:pPr>
            <w:r>
              <w:rPr>
                <w:rFonts w:hint="eastAsia" w:ascii="宋体" w:hAnsi="宋体"/>
                <w:b/>
                <w:color w:val="auto"/>
                <w:highlight w:val="none"/>
                <w:lang w:val="en-US" w:eastAsia="zh-CN"/>
              </w:rPr>
              <w:t>八</w:t>
            </w:r>
            <w:r>
              <w:rPr>
                <w:rFonts w:hint="eastAsia" w:ascii="宋体" w:hAnsi="宋体"/>
                <w:b/>
                <w:color w:val="auto"/>
                <w:highlight w:val="none"/>
              </w:rPr>
              <w:t>、监督管理要求：</w:t>
            </w:r>
          </w:p>
        </w:tc>
      </w:tr>
      <w:tr w14:paraId="1CAE726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0608BE8">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1</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E8AF7B">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及员工必须配合</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主管部门的监督与考核（考核方案详见附表），不得以任何理由拒绝或阻挠，并应根据考核提出的合理建议和要求进行改进，如果有异议的可以在两天内向</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主管部门提出。</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2390A7A">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9818A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541BCE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396DF85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6B5497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Fonts w:hint="eastAsia" w:ascii="宋体" w:hAnsi="宋体" w:cs="宋体"/>
                <w:color w:val="auto"/>
                <w:szCs w:val="21"/>
                <w:highlight w:val="none"/>
              </w:rPr>
              <w:t>★2</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B983F7">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应配合</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的价格监督。</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应提供每月原材料的采购票据及凭证、成本明细报表（不得弄虚作假）、售价（定价方案等）供</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审核，一旦发现有私自提价或乱收费的现象，扣罚</w:t>
            </w:r>
            <w:r>
              <w:rPr>
                <w:rFonts w:hint="eastAsia" w:ascii="宋体" w:hAnsi="宋体" w:cs="宋体"/>
                <w:color w:val="auto"/>
                <w:szCs w:val="21"/>
                <w:highlight w:val="none"/>
                <w:lang w:val="en-US" w:eastAsia="zh-CN"/>
              </w:rPr>
              <w:t>2000</w:t>
            </w:r>
            <w:r>
              <w:rPr>
                <w:rFonts w:hint="eastAsia" w:ascii="宋体" w:hAnsi="宋体" w:cs="宋体"/>
                <w:color w:val="auto"/>
                <w:szCs w:val="21"/>
                <w:highlight w:val="none"/>
              </w:rPr>
              <w:t>元/次。一旦发现</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的利润高于规定的利润者，视情况予以扣罚1000</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元/次并立即调价至要求的范围内。</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A7A383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AC7854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DF7231E">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6F1A864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07B0A3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3</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5DA9AB7">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应将公司管理人员信息及员工名单、健康证复印件提交给</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主管部门备案。</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不得因人员配备不足而影响服务质量，</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主管部门发现</w:t>
            </w:r>
            <w:r>
              <w:rPr>
                <w:rFonts w:hint="eastAsia" w:ascii="宋体" w:hAnsi="宋体" w:cs="宋体"/>
                <w:color w:val="auto"/>
                <w:szCs w:val="21"/>
                <w:highlight w:val="none"/>
                <w:lang w:val="en-US" w:eastAsia="zh-CN"/>
              </w:rPr>
              <w:t>每</w:t>
            </w:r>
            <w:r>
              <w:rPr>
                <w:rFonts w:hint="eastAsia" w:ascii="宋体" w:hAnsi="宋体" w:cs="宋体"/>
                <w:color w:val="auto"/>
                <w:szCs w:val="21"/>
                <w:highlight w:val="none"/>
              </w:rPr>
              <w:t>次扣罚</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元。</w:t>
            </w:r>
            <w:r>
              <w:rPr>
                <w:rFonts w:hint="eastAsia" w:ascii="宋体" w:hAnsi="宋体"/>
                <w:color w:val="auto"/>
                <w:szCs w:val="21"/>
                <w:highlight w:val="none"/>
              </w:rPr>
              <w:t>监管过程中发现有未办健康证就入职的员工或健康证过期未及时更换，扣罚</w:t>
            </w:r>
            <w:r>
              <w:rPr>
                <w:rFonts w:hint="eastAsia" w:ascii="宋体" w:hAnsi="宋体"/>
                <w:color w:val="auto"/>
                <w:szCs w:val="21"/>
                <w:highlight w:val="none"/>
                <w:lang w:val="en-US" w:eastAsia="zh-CN"/>
              </w:rPr>
              <w:t>5</w:t>
            </w:r>
            <w:r>
              <w:rPr>
                <w:rFonts w:hint="eastAsia" w:ascii="宋体" w:hAnsi="宋体"/>
                <w:color w:val="auto"/>
                <w:szCs w:val="21"/>
                <w:highlight w:val="none"/>
              </w:rPr>
              <w:t>00元/人/次。</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ACAC3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A5DAFD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A624350">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10CBD3E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0F019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4</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8B02DFE">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应制定应对投诉、食品质量、食物中毒等不良事件的处理流程，员工应掌握不良事件上报流程及处理方法，</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接到投诉或有争议的不良事件时，管理人员应1小时内赶到现场进行调查和处理</w:t>
            </w:r>
            <w:r>
              <w:rPr>
                <w:rFonts w:hint="eastAsia" w:ascii="宋体" w:hAnsi="宋体" w:cs="宋体"/>
                <w:color w:val="auto"/>
                <w:szCs w:val="21"/>
                <w:highlight w:val="none"/>
                <w:lang w:eastAsia="zh-CN"/>
              </w:rPr>
              <w:t>（应</w:t>
            </w:r>
            <w:r>
              <w:rPr>
                <w:rFonts w:hint="eastAsia" w:ascii="宋体" w:hAnsi="宋体" w:cs="宋体"/>
                <w:color w:val="auto"/>
                <w:szCs w:val="21"/>
                <w:highlight w:val="none"/>
              </w:rPr>
              <w:t>急事件在2小时内，一般事件1天内完成处理措施，将损害减到最小），不良事件处理结束后，应填写《不良事件追踪调查表》，对事件进行原因分析及持续改进，以免类似情况再次发生，并在3天内将《不良事件追踪调查表》交给</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主管部门。一旦出现严重的服务缺陷投诉、食品、安全质量事故，</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还须承担相应的责任外，扣罚</w:t>
            </w:r>
            <w:r>
              <w:rPr>
                <w:rFonts w:hint="eastAsia" w:ascii="宋体" w:hAnsi="宋体" w:cs="宋体"/>
                <w:color w:val="auto"/>
                <w:szCs w:val="21"/>
                <w:highlight w:val="none"/>
                <w:lang w:val="en-US" w:eastAsia="zh-CN"/>
              </w:rPr>
              <w:t>5000-10</w:t>
            </w:r>
            <w:r>
              <w:rPr>
                <w:rFonts w:hint="eastAsia" w:ascii="宋体" w:hAnsi="宋体" w:cs="宋体"/>
                <w:color w:val="auto"/>
                <w:szCs w:val="21"/>
                <w:highlight w:val="none"/>
              </w:rPr>
              <w:t>00</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元/次。</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A7AB07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BBE70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32E217B">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6D32A4E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0B3CF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5</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D654B24">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应管理好所属员工，必须遵守国家有关法律法规和</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的劳动纪律，所属员工发生的一切投诉、纠纷和法律事件，一概由</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承担。若因</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管理不善、控制不力而发生</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员工群体游行、示威、罢工等重大事件且造成严重影响的，每次扣罚</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000元。在合同期内累计发生两次重大事件，</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有权根据具体情况决定单方解除合同，并没收履约保证金。</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5EFD264">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C337D4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47956C">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5A5EBEB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78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B81CF4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default" w:ascii="宋体" w:hAnsi="宋体" w:eastAsia="宋体" w:cs="宋体"/>
                <w:b w:val="0"/>
                <w:bCs w:val="0"/>
                <w:color w:val="auto"/>
                <w:kern w:val="2"/>
                <w:sz w:val="21"/>
                <w:szCs w:val="21"/>
                <w:lang w:val="en-US" w:eastAsia="zh-CN"/>
              </w:rPr>
            </w:pPr>
            <w:r>
              <w:rPr>
                <w:rStyle w:val="33"/>
                <w:rFonts w:hint="eastAsia" w:ascii="宋体" w:hAnsi="宋体" w:cs="宋体"/>
                <w:b w:val="0"/>
                <w:bCs w:val="0"/>
                <w:color w:val="auto"/>
                <w:kern w:val="2"/>
                <w:sz w:val="21"/>
                <w:szCs w:val="21"/>
                <w:lang w:val="en-US" w:eastAsia="zh-CN"/>
              </w:rPr>
              <w:t>6</w:t>
            </w:r>
          </w:p>
        </w:tc>
        <w:tc>
          <w:tcPr>
            <w:tcW w:w="559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77DEBFF">
            <w:pPr>
              <w:spacing w:line="240" w:lineRule="auto"/>
              <w:jc w:val="both"/>
              <w:rPr>
                <w:rFonts w:hint="eastAsia" w:ascii="宋体" w:hAnsi="宋体" w:cs="宋体"/>
                <w:color w:val="auto"/>
                <w:szCs w:val="21"/>
                <w:highlight w:val="none"/>
              </w:rPr>
            </w:pPr>
            <w:r>
              <w:rPr>
                <w:rFonts w:hint="eastAsia" w:ascii="宋体" w:hAnsi="宋体" w:cs="宋体"/>
                <w:color w:val="auto"/>
                <w:szCs w:val="21"/>
                <w:highlight w:val="none"/>
              </w:rPr>
              <w:t>服务质量考评：</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每月根据《小榄人民医院饭堂服务质量监督检查记录表》（详见附表）对</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的服务质量进行考评，考评总分为100分，当月考评总分在90分及以上为合格。考核分在85</w:t>
            </w:r>
            <w:r>
              <w:rPr>
                <w:rFonts w:hint="eastAsia" w:ascii="宋体" w:hAnsi="宋体" w:cs="宋体"/>
                <w:color w:val="auto"/>
                <w:szCs w:val="21"/>
                <w:highlight w:val="none"/>
                <w:lang w:eastAsia="zh-CN"/>
              </w:rPr>
              <w:t>～</w:t>
            </w:r>
            <w:r>
              <w:rPr>
                <w:rFonts w:hint="eastAsia" w:ascii="宋体" w:hAnsi="宋体" w:cs="宋体"/>
                <w:color w:val="auto"/>
                <w:szCs w:val="21"/>
                <w:highlight w:val="none"/>
              </w:rPr>
              <w:t>90分（含85分）之间，不予扣罚，但</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需要对存在问题予以立即改进，如因</w:t>
            </w:r>
            <w:r>
              <w:rPr>
                <w:rFonts w:hint="eastAsia" w:ascii="宋体" w:hAnsi="宋体" w:cs="宋体"/>
                <w:color w:val="auto"/>
                <w:szCs w:val="21"/>
                <w:highlight w:val="none"/>
                <w:lang w:eastAsia="zh-CN"/>
              </w:rPr>
              <w:t>中选服务商</w:t>
            </w:r>
            <w:r>
              <w:rPr>
                <w:rFonts w:hint="eastAsia" w:ascii="宋体" w:hAnsi="宋体" w:cs="宋体"/>
                <w:color w:val="auto"/>
                <w:szCs w:val="21"/>
                <w:highlight w:val="none"/>
              </w:rPr>
              <w:t>责任所致的同一问题第二次出现的，扣罚</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00元/次；考核分在80</w:t>
            </w:r>
            <w:r>
              <w:rPr>
                <w:rFonts w:hint="eastAsia" w:ascii="宋体" w:hAnsi="宋体" w:cs="宋体"/>
                <w:color w:val="auto"/>
                <w:szCs w:val="21"/>
                <w:highlight w:val="none"/>
                <w:lang w:eastAsia="zh-CN"/>
              </w:rPr>
              <w:t>～</w:t>
            </w:r>
            <w:r>
              <w:rPr>
                <w:rFonts w:hint="eastAsia" w:ascii="宋体" w:hAnsi="宋体" w:cs="宋体"/>
                <w:color w:val="auto"/>
                <w:szCs w:val="21"/>
                <w:highlight w:val="none"/>
              </w:rPr>
              <w:t>85分（含80分）之间，每少一分扣</w:t>
            </w:r>
            <w:r>
              <w:rPr>
                <w:rFonts w:hint="eastAsia" w:ascii="宋体" w:hAnsi="宋体" w:cs="宋体"/>
                <w:color w:val="auto"/>
                <w:szCs w:val="21"/>
                <w:highlight w:val="none"/>
                <w:lang w:val="en-US" w:eastAsia="zh-CN"/>
              </w:rPr>
              <w:t>1000</w:t>
            </w:r>
            <w:r>
              <w:rPr>
                <w:rFonts w:hint="eastAsia" w:ascii="宋体" w:hAnsi="宋体" w:cs="宋体"/>
                <w:color w:val="auto"/>
                <w:szCs w:val="21"/>
                <w:highlight w:val="none"/>
              </w:rPr>
              <w:t>元/分；考核分在75</w:t>
            </w:r>
            <w:r>
              <w:rPr>
                <w:rFonts w:hint="eastAsia" w:ascii="宋体" w:hAnsi="宋体" w:cs="宋体"/>
                <w:color w:val="auto"/>
                <w:szCs w:val="21"/>
                <w:highlight w:val="none"/>
                <w:lang w:eastAsia="zh-CN"/>
              </w:rPr>
              <w:t>～</w:t>
            </w:r>
            <w:r>
              <w:rPr>
                <w:rFonts w:hint="eastAsia" w:ascii="宋体" w:hAnsi="宋体" w:cs="宋体"/>
                <w:color w:val="auto"/>
                <w:szCs w:val="21"/>
                <w:highlight w:val="none"/>
              </w:rPr>
              <w:t>80分（含75分）之间，每少一分扣</w:t>
            </w:r>
            <w:r>
              <w:rPr>
                <w:rFonts w:hint="eastAsia" w:ascii="宋体" w:hAnsi="宋体" w:cs="宋体"/>
                <w:color w:val="auto"/>
                <w:szCs w:val="21"/>
                <w:highlight w:val="none"/>
                <w:lang w:val="en-US" w:eastAsia="zh-CN"/>
              </w:rPr>
              <w:t>2000</w:t>
            </w:r>
            <w:r>
              <w:rPr>
                <w:rFonts w:hint="eastAsia" w:ascii="宋体" w:hAnsi="宋体" w:cs="宋体"/>
                <w:color w:val="auto"/>
                <w:szCs w:val="21"/>
                <w:highlight w:val="none"/>
              </w:rPr>
              <w:t>元/分；考核分低于75分（不含75分）以下的，每少一分，扣</w:t>
            </w:r>
            <w:r>
              <w:rPr>
                <w:rFonts w:hint="eastAsia" w:ascii="宋体" w:hAnsi="宋体" w:cs="宋体"/>
                <w:color w:val="auto"/>
                <w:szCs w:val="21"/>
                <w:highlight w:val="none"/>
                <w:lang w:val="en-US" w:eastAsia="zh-CN"/>
              </w:rPr>
              <w:t>5000</w:t>
            </w:r>
            <w:r>
              <w:rPr>
                <w:rFonts w:hint="eastAsia" w:ascii="宋体" w:hAnsi="宋体" w:cs="宋体"/>
                <w:color w:val="auto"/>
                <w:szCs w:val="21"/>
                <w:highlight w:val="none"/>
              </w:rPr>
              <w:t>元/分；连续两个月考核结果低于75分（不含75分）的，</w:t>
            </w:r>
            <w:r>
              <w:rPr>
                <w:rFonts w:hint="eastAsia" w:ascii="宋体" w:hAnsi="宋体" w:cs="宋体"/>
                <w:color w:val="auto"/>
                <w:szCs w:val="21"/>
                <w:highlight w:val="none"/>
                <w:lang w:eastAsia="zh-CN"/>
              </w:rPr>
              <w:t>业主方</w:t>
            </w:r>
            <w:r>
              <w:rPr>
                <w:rFonts w:hint="eastAsia" w:ascii="宋体" w:hAnsi="宋体" w:cs="宋体"/>
                <w:color w:val="auto"/>
                <w:szCs w:val="21"/>
                <w:highlight w:val="none"/>
              </w:rPr>
              <w:t>有权单方解除合同重新招标。</w:t>
            </w:r>
          </w:p>
          <w:p w14:paraId="78D77306">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附件一：《小榄人民医院餐饮服务质量监督考评表》（可根据实际进行调整）</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D61C203">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4393EC6">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A1B86A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1CA71F89">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63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C8C54E">
            <w:pPr>
              <w:spacing w:line="360" w:lineRule="auto"/>
              <w:jc w:val="left"/>
              <w:rPr>
                <w:rFonts w:asciiTheme="minorEastAsia" w:hAnsiTheme="minorEastAsia" w:eastAsiaTheme="minorEastAsia"/>
                <w:color w:val="auto"/>
                <w:sz w:val="20"/>
                <w:szCs w:val="20"/>
                <w:highlight w:val="none"/>
              </w:rPr>
            </w:pPr>
            <w:r>
              <w:rPr>
                <w:rFonts w:hint="eastAsia" w:asciiTheme="minorEastAsia" w:hAnsiTheme="minorEastAsia" w:eastAsiaTheme="minorEastAsia"/>
                <w:b/>
                <w:color w:val="auto"/>
                <w:sz w:val="22"/>
                <w:szCs w:val="22"/>
                <w:highlight w:val="none"/>
                <w:lang w:val="en-US" w:eastAsia="zh-CN"/>
              </w:rPr>
              <w:t>附件一 中山市</w:t>
            </w:r>
            <w:r>
              <w:rPr>
                <w:rFonts w:hint="eastAsia" w:asciiTheme="minorEastAsia" w:hAnsiTheme="minorEastAsia" w:eastAsiaTheme="minorEastAsia"/>
                <w:b/>
                <w:color w:val="auto"/>
                <w:sz w:val="22"/>
                <w:szCs w:val="22"/>
                <w:highlight w:val="none"/>
              </w:rPr>
              <w:t>小榄人民医院餐饮服务质量监督考评表</w:t>
            </w:r>
          </w:p>
          <w:p w14:paraId="05453600">
            <w:pPr>
              <w:spacing w:line="240" w:lineRule="auto"/>
              <w:jc w:val="both"/>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（详见采购需求书）</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D613DA5">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4FFF559">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C0F4412">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r w14:paraId="461DED5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461" w:hRule="atLeast"/>
          <w:jc w:val="center"/>
        </w:trPr>
        <w:tc>
          <w:tcPr>
            <w:tcW w:w="6374"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14B74B4">
            <w:pPr>
              <w:spacing w:afterLines="50" w:line="360" w:lineRule="auto"/>
              <w:rPr>
                <w:rFonts w:ascii="宋体" w:hAnsi="宋体" w:cs="宋体"/>
                <w:b/>
                <w:color w:val="auto"/>
                <w:szCs w:val="21"/>
                <w:highlight w:val="none"/>
              </w:rPr>
            </w:pPr>
            <w:r>
              <w:rPr>
                <w:rFonts w:hint="eastAsia" w:ascii="宋体" w:hAnsi="宋体" w:cs="宋体"/>
                <w:b w:val="0"/>
                <w:bCs/>
                <w:color w:val="auto"/>
                <w:szCs w:val="21"/>
                <w:highlight w:val="none"/>
              </w:rPr>
              <w:t>附图</w:t>
            </w:r>
            <w:r>
              <w:rPr>
                <w:rFonts w:hint="eastAsia" w:ascii="宋体" w:hAnsi="宋体" w:cs="宋体"/>
                <w:b/>
                <w:color w:val="auto"/>
                <w:szCs w:val="21"/>
                <w:highlight w:val="none"/>
                <w:lang w:val="en-US" w:eastAsia="zh-CN"/>
              </w:rPr>
              <w:t>二：</w:t>
            </w:r>
            <w:r>
              <w:rPr>
                <w:rFonts w:hint="eastAsia" w:ascii="宋体" w:hAnsi="宋体" w:cs="宋体"/>
                <w:color w:val="auto"/>
                <w:szCs w:val="21"/>
                <w:highlight w:val="none"/>
              </w:rPr>
              <w:t>食堂一层平面图、食堂二层平面图（参考图）</w:t>
            </w:r>
          </w:p>
          <w:p w14:paraId="369C3EAB">
            <w:pPr>
              <w:rPr>
                <w:color w:val="auto"/>
                <w:highlight w:val="none"/>
              </w:rPr>
            </w:pPr>
            <w:r>
              <w:rPr>
                <w:rFonts w:hint="eastAsia" w:ascii="宋体" w:hAnsi="宋体"/>
                <w:color w:val="auto"/>
                <w:highlight w:val="none"/>
              </w:rPr>
              <w:t>附图一： 食堂一层平面图</w:t>
            </w:r>
          </w:p>
          <w:p w14:paraId="735C131D">
            <w:pPr>
              <w:spacing w:line="240" w:lineRule="auto"/>
              <w:jc w:val="both"/>
              <w:rPr>
                <w:rFonts w:hint="eastAsia" w:ascii="宋体" w:hAnsi="宋体" w:cs="宋体"/>
                <w:color w:val="auto"/>
                <w:szCs w:val="21"/>
                <w:highlight w:val="none"/>
                <w:lang w:eastAsia="zh-CN"/>
              </w:rPr>
            </w:pPr>
            <w:r>
              <w:rPr>
                <w:rFonts w:hint="eastAsia" w:ascii="宋体" w:hAnsi="宋体" w:cs="宋体"/>
                <w:color w:val="auto"/>
                <w:szCs w:val="21"/>
                <w:highlight w:val="none"/>
                <w:lang w:val="en-US" w:eastAsia="zh-CN"/>
              </w:rPr>
              <w:t>（详见采购需求书）</w:t>
            </w:r>
          </w:p>
        </w:tc>
        <w:tc>
          <w:tcPr>
            <w:tcW w:w="154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4E8B6F">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CN"/>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92A8CDD">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c>
          <w:tcPr>
            <w:tcW w:w="150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67A9E7">
            <w:pPr>
              <w:keepNext w:val="0"/>
              <w:keepLines w:val="0"/>
              <w:pageBreakBefore w:val="0"/>
              <w:widowControl w:val="0"/>
              <w:shd w:val="clear"/>
              <w:kinsoku/>
              <w:wordWrap/>
              <w:overflowPunct/>
              <w:topLinePunct w:val="0"/>
              <w:autoSpaceDE/>
              <w:autoSpaceDN/>
              <w:bidi w:val="0"/>
              <w:adjustRightInd/>
              <w:snapToGrid/>
              <w:spacing w:line="300" w:lineRule="auto"/>
              <w:jc w:val="center"/>
              <w:textAlignment w:val="auto"/>
              <w:rPr>
                <w:rStyle w:val="33"/>
                <w:rFonts w:hint="eastAsia" w:ascii="宋体" w:hAnsi="宋体" w:eastAsia="宋体" w:cs="宋体"/>
                <w:b w:val="0"/>
                <w:bCs w:val="0"/>
                <w:color w:val="auto"/>
                <w:kern w:val="2"/>
                <w:sz w:val="21"/>
                <w:szCs w:val="21"/>
                <w:lang w:val="zh-TW" w:eastAsia="zh-TW"/>
              </w:rPr>
            </w:pPr>
          </w:p>
        </w:tc>
      </w:tr>
    </w:tbl>
    <w:p w14:paraId="6AD61F50">
      <w:pPr>
        <w:spacing w:line="360" w:lineRule="auto"/>
        <w:rPr>
          <w:rFonts w:hint="eastAsia" w:ascii="宋体" w:hAnsi="宋体" w:eastAsia="宋体" w:cs="宋体"/>
          <w:color w:val="auto"/>
          <w:sz w:val="32"/>
          <w:szCs w:val="32"/>
        </w:rPr>
      </w:pPr>
      <w:r>
        <w:rPr>
          <w:rFonts w:hint="eastAsia" w:ascii="宋体" w:hAnsi="宋体" w:eastAsia="宋体" w:cs="宋体"/>
          <w:color w:val="auto"/>
          <w:sz w:val="32"/>
          <w:szCs w:val="32"/>
        </w:rPr>
        <w:br w:type="page"/>
      </w:r>
    </w:p>
    <w:p w14:paraId="656755D6">
      <w:pPr>
        <w:pStyle w:val="18"/>
        <w:keepNext w:val="0"/>
        <w:keepLines w:val="0"/>
        <w:pageBreakBefore w:val="0"/>
        <w:widowControl/>
        <w:numPr>
          <w:ilvl w:val="0"/>
          <w:numId w:val="0"/>
        </w:numPr>
        <w:kinsoku/>
        <w:wordWrap/>
        <w:overflowPunct/>
        <w:topLinePunct w:val="0"/>
        <w:autoSpaceDE/>
        <w:autoSpaceDN/>
        <w:bidi w:val="0"/>
        <w:adjustRightInd/>
        <w:snapToGrid w:val="0"/>
        <w:spacing w:before="0" w:beforeAutospacing="0" w:after="0" w:afterAutospacing="0" w:line="360" w:lineRule="auto"/>
        <w:ind w:right="0" w:rightChars="0" w:firstLine="422" w:firstLineChars="200"/>
        <w:jc w:val="both"/>
        <w:textAlignment w:val="baseline"/>
        <w:rPr>
          <w:rStyle w:val="33"/>
          <w:rFonts w:hint="default" w:hAnsi="宋体" w:eastAsia="宋体" w:cs="宋体" w:asciiTheme="minorHAnsi"/>
          <w:b/>
          <w:bCs/>
          <w:color w:val="auto"/>
          <w:kern w:val="2"/>
          <w:sz w:val="21"/>
          <w:szCs w:val="21"/>
          <w:lang w:val="en-US" w:eastAsia="zh-CN"/>
        </w:rPr>
      </w:pPr>
      <w:bookmarkStart w:id="26" w:name="_Toc24494"/>
      <w:bookmarkStart w:id="27" w:name="_Toc29032"/>
      <w:bookmarkStart w:id="28" w:name="_Toc32605"/>
      <w:bookmarkStart w:id="29" w:name="_Toc3871"/>
      <w:bookmarkStart w:id="30" w:name="_Toc14685"/>
      <w:bookmarkStart w:id="31" w:name="_Toc30002"/>
      <w:r>
        <w:rPr>
          <w:rStyle w:val="33"/>
          <w:rFonts w:hint="eastAsia" w:hAnsi="宋体" w:cs="宋体"/>
          <w:b/>
          <w:bCs/>
          <w:color w:val="auto"/>
          <w:kern w:val="2"/>
          <w:sz w:val="21"/>
          <w:szCs w:val="21"/>
          <w:lang w:val="en-US" w:eastAsia="zh-CN"/>
        </w:rPr>
        <w:t>十五、</w:t>
      </w:r>
      <w:r>
        <w:rPr>
          <w:rStyle w:val="33"/>
          <w:rFonts w:hint="eastAsia" w:hAnsi="宋体" w:cs="宋体" w:asciiTheme="minorHAnsi"/>
          <w:b/>
          <w:bCs/>
          <w:color w:val="auto"/>
          <w:kern w:val="2"/>
          <w:sz w:val="21"/>
          <w:szCs w:val="21"/>
          <w:lang w:val="en-US" w:eastAsia="zh-CN"/>
        </w:rPr>
        <w:t>合同业</w:t>
      </w:r>
      <w:r>
        <w:rPr>
          <w:rStyle w:val="33"/>
          <w:rFonts w:hint="eastAsia" w:hAnsi="宋体" w:eastAsia="宋体" w:cs="宋体" w:asciiTheme="minorHAnsi"/>
          <w:b/>
          <w:bCs/>
          <w:color w:val="auto"/>
          <w:kern w:val="2"/>
          <w:sz w:val="21"/>
          <w:szCs w:val="21"/>
          <w:lang w:val="en-US" w:eastAsia="zh-CN"/>
        </w:rPr>
        <w:t>绩</w:t>
      </w:r>
      <w:r>
        <w:rPr>
          <w:rStyle w:val="33"/>
          <w:rFonts w:hint="eastAsia" w:hAnsi="宋体" w:eastAsia="宋体" w:cs="宋体"/>
          <w:b/>
          <w:bCs/>
          <w:color w:val="auto"/>
          <w:kern w:val="2"/>
          <w:sz w:val="21"/>
          <w:szCs w:val="21"/>
          <w:lang w:val="en-US" w:eastAsia="zh-CN"/>
        </w:rPr>
        <w:t xml:space="preserve">   服务商</w:t>
      </w:r>
      <w:r>
        <w:rPr>
          <w:rStyle w:val="33"/>
          <w:rFonts w:hint="eastAsia" w:hAnsi="宋体" w:eastAsia="宋体" w:cs="宋体" w:asciiTheme="minorHAnsi"/>
          <w:b/>
          <w:bCs/>
          <w:color w:val="auto"/>
          <w:kern w:val="2"/>
          <w:sz w:val="21"/>
          <w:szCs w:val="21"/>
          <w:lang w:val="en-US" w:eastAsia="zh-CN"/>
        </w:rPr>
        <w:t>自202</w:t>
      </w:r>
      <w:r>
        <w:rPr>
          <w:rStyle w:val="33"/>
          <w:rFonts w:hint="eastAsia" w:hAnsi="宋体" w:eastAsia="宋体" w:cs="宋体"/>
          <w:b/>
          <w:bCs/>
          <w:color w:val="auto"/>
          <w:kern w:val="2"/>
          <w:sz w:val="21"/>
          <w:szCs w:val="21"/>
          <w:lang w:val="en-US" w:eastAsia="zh-CN"/>
        </w:rPr>
        <w:t>1</w:t>
      </w:r>
      <w:r>
        <w:rPr>
          <w:rStyle w:val="33"/>
          <w:rFonts w:hint="eastAsia" w:hAnsi="宋体" w:eastAsia="宋体" w:cs="宋体" w:asciiTheme="minorHAnsi"/>
          <w:b/>
          <w:bCs/>
          <w:color w:val="auto"/>
          <w:kern w:val="2"/>
          <w:sz w:val="21"/>
          <w:szCs w:val="21"/>
          <w:lang w:val="en-US" w:eastAsia="zh-CN"/>
        </w:rPr>
        <w:t>年1月1日至今</w:t>
      </w:r>
      <w:r>
        <w:rPr>
          <w:rStyle w:val="33"/>
          <w:rFonts w:hint="eastAsia" w:hAnsi="宋体" w:eastAsia="宋体" w:cs="宋体"/>
          <w:b/>
          <w:bCs/>
          <w:color w:val="auto"/>
          <w:kern w:val="2"/>
          <w:sz w:val="21"/>
          <w:szCs w:val="21"/>
          <w:lang w:val="en-US" w:eastAsia="zh-CN"/>
        </w:rPr>
        <w:t>同类合同业绩</w:t>
      </w:r>
      <w:r>
        <w:rPr>
          <w:rStyle w:val="33"/>
          <w:rFonts w:hint="eastAsia" w:hAnsi="宋体" w:eastAsia="宋体" w:cs="宋体" w:asciiTheme="minorHAnsi"/>
          <w:b/>
          <w:bCs/>
          <w:color w:val="auto"/>
          <w:kern w:val="2"/>
          <w:sz w:val="21"/>
          <w:szCs w:val="21"/>
          <w:lang w:val="en-US" w:eastAsia="zh-CN"/>
        </w:rPr>
        <w:t>，业绩时间以合同签订时间为准，</w:t>
      </w:r>
      <w:r>
        <w:rPr>
          <w:rStyle w:val="33"/>
          <w:rFonts w:hint="eastAsia" w:hAnsi="宋体" w:eastAsia="宋体" w:cs="宋体"/>
          <w:b/>
          <w:bCs/>
          <w:color w:val="auto"/>
          <w:kern w:val="2"/>
          <w:sz w:val="21"/>
          <w:szCs w:val="21"/>
          <w:lang w:val="en-US" w:eastAsia="zh-CN"/>
        </w:rPr>
        <w:t>服务商</w:t>
      </w:r>
      <w:r>
        <w:rPr>
          <w:rStyle w:val="33"/>
          <w:rFonts w:hint="eastAsia" w:hAnsi="宋体" w:eastAsia="宋体" w:cs="宋体" w:asciiTheme="minorHAnsi"/>
          <w:b/>
          <w:bCs/>
          <w:color w:val="auto"/>
          <w:kern w:val="2"/>
          <w:sz w:val="21"/>
          <w:szCs w:val="21"/>
          <w:lang w:val="en-US" w:eastAsia="zh-CN"/>
        </w:rPr>
        <w:t>需提供合同复印件加盖公章。</w:t>
      </w:r>
      <w:r>
        <w:rPr>
          <w:rStyle w:val="33"/>
          <w:rFonts w:hint="eastAsia" w:hAnsi="宋体" w:eastAsia="宋体" w:cs="宋体" w:asciiTheme="minorHAnsi"/>
          <w:b/>
          <w:bCs/>
          <w:color w:val="auto"/>
          <w:kern w:val="2"/>
          <w:sz w:val="21"/>
          <w:szCs w:val="21"/>
          <w:highlight w:val="yellow"/>
          <w:lang w:val="en-US" w:eastAsia="zh-CN"/>
        </w:rPr>
        <w:t>（提供合同关键页及合同履行过程中任意一次的发票复印件</w:t>
      </w:r>
      <w:r>
        <w:rPr>
          <w:rStyle w:val="33"/>
          <w:rFonts w:hint="eastAsia" w:cs="宋体" w:asciiTheme="minorHAnsi"/>
          <w:b/>
          <w:bCs/>
          <w:color w:val="auto"/>
          <w:kern w:val="2"/>
          <w:sz w:val="21"/>
          <w:szCs w:val="21"/>
          <w:highlight w:val="yellow"/>
          <w:lang w:val="en-US" w:eastAsia="zh-CN"/>
        </w:rPr>
        <w:t>、业主满意度评价</w:t>
      </w:r>
      <w:r>
        <w:rPr>
          <w:rStyle w:val="33"/>
          <w:rFonts w:hint="eastAsia" w:hAnsi="宋体" w:eastAsia="宋体" w:cs="宋体" w:asciiTheme="minorHAnsi"/>
          <w:b/>
          <w:bCs/>
          <w:color w:val="auto"/>
          <w:kern w:val="2"/>
          <w:sz w:val="21"/>
          <w:szCs w:val="21"/>
          <w:highlight w:val="yellow"/>
          <w:lang w:val="en-US" w:eastAsia="zh-CN"/>
        </w:rPr>
        <w:t>）</w:t>
      </w:r>
      <w:r>
        <w:rPr>
          <w:rStyle w:val="33"/>
          <w:rFonts w:hint="eastAsia" w:hAnsi="宋体" w:eastAsia="宋体" w:cs="宋体" w:asciiTheme="minorHAnsi"/>
          <w:b/>
          <w:bCs/>
          <w:color w:val="auto"/>
          <w:kern w:val="2"/>
          <w:sz w:val="21"/>
          <w:szCs w:val="21"/>
          <w:lang w:val="en-US" w:eastAsia="zh-CN"/>
        </w:rPr>
        <w:t>。</w:t>
      </w:r>
    </w:p>
    <w:p w14:paraId="06BC6159">
      <w:pPr>
        <w:pStyle w:val="27"/>
        <w:numPr>
          <w:ilvl w:val="0"/>
          <w:numId w:val="0"/>
        </w:numPr>
        <w:ind w:leftChars="0"/>
        <w:rPr>
          <w:rStyle w:val="33"/>
          <w:rFonts w:hint="eastAsia" w:hAnsi="宋体" w:cs="宋体" w:asciiTheme="minorHAnsi"/>
          <w:b/>
          <w:bCs/>
          <w:color w:val="auto"/>
          <w:kern w:val="2"/>
          <w:sz w:val="21"/>
          <w:szCs w:val="21"/>
          <w:lang w:val="en-US" w:eastAsia="zh-CN"/>
        </w:rPr>
      </w:pPr>
    </w:p>
    <w:p w14:paraId="58277AC9">
      <w:pPr>
        <w:jc w:val="center"/>
        <w:rPr>
          <w:color w:val="auto"/>
          <w:highlight w:val="none"/>
        </w:rPr>
      </w:pPr>
      <w:r>
        <w:rPr>
          <w:rFonts w:hint="eastAsia" w:ascii="宋体"/>
          <w:b/>
          <w:color w:val="auto"/>
          <w:sz w:val="24"/>
          <w:highlight w:val="none"/>
        </w:rPr>
        <w:t>业绩一览表</w:t>
      </w:r>
    </w:p>
    <w:tbl>
      <w:tblPr>
        <w:tblStyle w:val="21"/>
        <w:tblpPr w:leftFromText="180" w:rightFromText="180" w:vertAnchor="text" w:horzAnchor="page" w:tblpX="1097" w:tblpY="399"/>
        <w:tblOverlap w:val="never"/>
        <w:tblW w:w="10335"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62"/>
        <w:gridCol w:w="1855"/>
        <w:gridCol w:w="1987"/>
        <w:gridCol w:w="1723"/>
        <w:gridCol w:w="1192"/>
        <w:gridCol w:w="1458"/>
        <w:gridCol w:w="1458"/>
      </w:tblGrid>
      <w:tr w14:paraId="1EA944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2" w:hRule="atLeast"/>
        </w:trPr>
        <w:tc>
          <w:tcPr>
            <w:tcW w:w="662" w:type="dxa"/>
            <w:tcBorders>
              <w:top w:val="double" w:color="auto" w:sz="4" w:space="0"/>
              <w:bottom w:val="single" w:color="auto" w:sz="6" w:space="0"/>
            </w:tcBorders>
            <w:shd w:val="clear" w:color="auto" w:fill="E0E0E0"/>
            <w:noWrap w:val="0"/>
            <w:vAlign w:val="center"/>
          </w:tcPr>
          <w:p w14:paraId="5961731F">
            <w:pPr>
              <w:autoSpaceDE w:val="0"/>
              <w:autoSpaceDN w:val="0"/>
              <w:adjustRightInd w:val="0"/>
              <w:jc w:val="center"/>
              <w:rPr>
                <w:rFonts w:hint="eastAsia" w:ascii="宋体"/>
                <w:b/>
                <w:color w:val="auto"/>
                <w:highlight w:val="none"/>
              </w:rPr>
            </w:pPr>
            <w:r>
              <w:rPr>
                <w:rFonts w:hint="eastAsia" w:ascii="宋体"/>
                <w:b/>
                <w:color w:val="auto"/>
                <w:highlight w:val="none"/>
              </w:rPr>
              <w:t>序号</w:t>
            </w:r>
          </w:p>
        </w:tc>
        <w:tc>
          <w:tcPr>
            <w:tcW w:w="1855" w:type="dxa"/>
            <w:tcBorders>
              <w:top w:val="double" w:color="auto" w:sz="4" w:space="0"/>
              <w:bottom w:val="single" w:color="auto" w:sz="6" w:space="0"/>
            </w:tcBorders>
            <w:shd w:val="clear" w:color="auto" w:fill="E0E0E0"/>
            <w:noWrap w:val="0"/>
            <w:vAlign w:val="center"/>
          </w:tcPr>
          <w:p w14:paraId="6F82E543">
            <w:pPr>
              <w:autoSpaceDE w:val="0"/>
              <w:autoSpaceDN w:val="0"/>
              <w:adjustRightInd w:val="0"/>
              <w:jc w:val="center"/>
              <w:rPr>
                <w:rFonts w:hint="eastAsia" w:ascii="宋体"/>
                <w:b/>
                <w:color w:val="auto"/>
                <w:highlight w:val="none"/>
              </w:rPr>
            </w:pPr>
            <w:r>
              <w:rPr>
                <w:rFonts w:hint="eastAsia" w:ascii="宋体"/>
                <w:b/>
                <w:color w:val="auto"/>
                <w:highlight w:val="none"/>
              </w:rPr>
              <w:t>项目名称</w:t>
            </w:r>
          </w:p>
        </w:tc>
        <w:tc>
          <w:tcPr>
            <w:tcW w:w="1987" w:type="dxa"/>
            <w:tcBorders>
              <w:top w:val="double" w:color="auto" w:sz="4" w:space="0"/>
              <w:bottom w:val="single" w:color="auto" w:sz="6" w:space="0"/>
            </w:tcBorders>
            <w:shd w:val="clear" w:color="auto" w:fill="E0E0E0"/>
            <w:noWrap w:val="0"/>
            <w:vAlign w:val="center"/>
          </w:tcPr>
          <w:p w14:paraId="29690D4C">
            <w:pPr>
              <w:autoSpaceDE w:val="0"/>
              <w:autoSpaceDN w:val="0"/>
              <w:adjustRightInd w:val="0"/>
              <w:jc w:val="center"/>
              <w:rPr>
                <w:rFonts w:hint="eastAsia" w:ascii="宋体"/>
                <w:b/>
                <w:color w:val="auto"/>
                <w:highlight w:val="none"/>
              </w:rPr>
            </w:pPr>
            <w:r>
              <w:rPr>
                <w:rFonts w:hint="eastAsia" w:ascii="宋体"/>
                <w:b/>
                <w:color w:val="auto"/>
                <w:highlight w:val="none"/>
              </w:rPr>
              <w:t>项目地址</w:t>
            </w:r>
          </w:p>
        </w:tc>
        <w:tc>
          <w:tcPr>
            <w:tcW w:w="1723" w:type="dxa"/>
            <w:tcBorders>
              <w:top w:val="double" w:color="auto" w:sz="4" w:space="0"/>
              <w:bottom w:val="single" w:color="auto" w:sz="6" w:space="0"/>
            </w:tcBorders>
            <w:shd w:val="clear" w:color="auto" w:fill="E0E0E0"/>
            <w:noWrap w:val="0"/>
            <w:vAlign w:val="center"/>
          </w:tcPr>
          <w:p w14:paraId="5C123DD1">
            <w:pPr>
              <w:autoSpaceDE w:val="0"/>
              <w:autoSpaceDN w:val="0"/>
              <w:adjustRightInd w:val="0"/>
              <w:jc w:val="center"/>
              <w:rPr>
                <w:rFonts w:hint="eastAsia" w:ascii="宋体"/>
                <w:b/>
                <w:color w:val="auto"/>
                <w:highlight w:val="none"/>
              </w:rPr>
            </w:pPr>
            <w:r>
              <w:rPr>
                <w:rFonts w:hint="eastAsia" w:ascii="宋体"/>
                <w:b/>
                <w:color w:val="auto"/>
                <w:highlight w:val="none"/>
              </w:rPr>
              <w:t>合同内容</w:t>
            </w:r>
          </w:p>
        </w:tc>
        <w:tc>
          <w:tcPr>
            <w:tcW w:w="1192" w:type="dxa"/>
            <w:tcBorders>
              <w:top w:val="double" w:color="auto" w:sz="4" w:space="0"/>
              <w:bottom w:val="single" w:color="auto" w:sz="6" w:space="0"/>
            </w:tcBorders>
            <w:shd w:val="clear" w:color="auto" w:fill="E0E0E0"/>
            <w:noWrap w:val="0"/>
            <w:vAlign w:val="center"/>
          </w:tcPr>
          <w:p w14:paraId="409F440C">
            <w:pPr>
              <w:autoSpaceDE w:val="0"/>
              <w:autoSpaceDN w:val="0"/>
              <w:adjustRightInd w:val="0"/>
              <w:jc w:val="center"/>
              <w:rPr>
                <w:rFonts w:hint="eastAsia" w:ascii="宋体"/>
                <w:b/>
                <w:color w:val="auto"/>
                <w:highlight w:val="none"/>
              </w:rPr>
            </w:pPr>
            <w:r>
              <w:rPr>
                <w:rFonts w:hint="eastAsia" w:ascii="宋体"/>
                <w:b/>
                <w:color w:val="auto"/>
                <w:highlight w:val="none"/>
              </w:rPr>
              <w:t>合同总价</w:t>
            </w:r>
          </w:p>
        </w:tc>
        <w:tc>
          <w:tcPr>
            <w:tcW w:w="1458" w:type="dxa"/>
            <w:tcBorders>
              <w:top w:val="double" w:color="auto" w:sz="4" w:space="0"/>
              <w:bottom w:val="single" w:color="auto" w:sz="6" w:space="0"/>
            </w:tcBorders>
            <w:shd w:val="clear" w:color="auto" w:fill="E0E0E0"/>
            <w:noWrap w:val="0"/>
            <w:vAlign w:val="center"/>
          </w:tcPr>
          <w:p w14:paraId="0330D8D5">
            <w:pPr>
              <w:autoSpaceDE w:val="0"/>
              <w:autoSpaceDN w:val="0"/>
              <w:adjustRightInd w:val="0"/>
              <w:jc w:val="center"/>
              <w:rPr>
                <w:rFonts w:hint="eastAsia" w:ascii="宋体"/>
                <w:b/>
                <w:color w:val="auto"/>
                <w:highlight w:val="none"/>
              </w:rPr>
            </w:pPr>
            <w:r>
              <w:rPr>
                <w:rFonts w:hint="eastAsia" w:ascii="宋体"/>
                <w:b/>
                <w:color w:val="auto"/>
                <w:highlight w:val="none"/>
              </w:rPr>
              <w:t>签约日期</w:t>
            </w:r>
          </w:p>
        </w:tc>
        <w:tc>
          <w:tcPr>
            <w:tcW w:w="1458" w:type="dxa"/>
            <w:tcBorders>
              <w:top w:val="double" w:color="auto" w:sz="4" w:space="0"/>
              <w:bottom w:val="single" w:color="auto" w:sz="6" w:space="0"/>
            </w:tcBorders>
            <w:shd w:val="clear" w:color="auto" w:fill="E0E0E0"/>
            <w:noWrap w:val="0"/>
            <w:vAlign w:val="center"/>
          </w:tcPr>
          <w:p w14:paraId="630D2EB6">
            <w:pPr>
              <w:autoSpaceDE w:val="0"/>
              <w:autoSpaceDN w:val="0"/>
              <w:adjustRightInd w:val="0"/>
              <w:jc w:val="center"/>
              <w:rPr>
                <w:rFonts w:hint="eastAsia" w:ascii="宋体" w:eastAsiaTheme="minorEastAsia"/>
                <w:b/>
                <w:color w:val="auto"/>
                <w:highlight w:val="none"/>
                <w:lang w:val="en-US" w:eastAsia="zh-CN"/>
              </w:rPr>
            </w:pPr>
            <w:r>
              <w:rPr>
                <w:rFonts w:hint="eastAsia" w:ascii="宋体"/>
                <w:b/>
                <w:color w:val="auto"/>
                <w:highlight w:val="none"/>
                <w:lang w:val="en-US" w:eastAsia="zh-CN"/>
              </w:rPr>
              <w:t>评价</w:t>
            </w:r>
          </w:p>
        </w:tc>
      </w:tr>
      <w:tr w14:paraId="42EDFA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662" w:type="dxa"/>
            <w:tcBorders>
              <w:top w:val="single" w:color="auto" w:sz="6" w:space="0"/>
            </w:tcBorders>
            <w:noWrap w:val="0"/>
            <w:vAlign w:val="top"/>
          </w:tcPr>
          <w:p w14:paraId="62B2C950">
            <w:pPr>
              <w:spacing w:before="156" w:after="156" w:line="400" w:lineRule="exact"/>
              <w:jc w:val="center"/>
              <w:rPr>
                <w:rFonts w:hint="eastAsia" w:ascii="宋体" w:eastAsiaTheme="minorEastAsia"/>
                <w:color w:val="auto"/>
                <w:highlight w:val="none"/>
                <w:lang w:val="en-US" w:eastAsia="zh-CN"/>
              </w:rPr>
            </w:pPr>
            <w:r>
              <w:rPr>
                <w:rFonts w:hint="eastAsia" w:ascii="宋体"/>
                <w:color w:val="auto"/>
                <w:highlight w:val="none"/>
                <w:lang w:val="en-US" w:eastAsia="zh-CN"/>
              </w:rPr>
              <w:t>1</w:t>
            </w:r>
          </w:p>
        </w:tc>
        <w:tc>
          <w:tcPr>
            <w:tcW w:w="1855" w:type="dxa"/>
            <w:tcBorders>
              <w:top w:val="single" w:color="auto" w:sz="6" w:space="0"/>
            </w:tcBorders>
            <w:noWrap w:val="0"/>
            <w:vAlign w:val="top"/>
          </w:tcPr>
          <w:p w14:paraId="054E8CA4">
            <w:pPr>
              <w:spacing w:before="156" w:after="156" w:line="400" w:lineRule="exact"/>
              <w:rPr>
                <w:rFonts w:hint="eastAsia" w:ascii="宋体"/>
                <w:color w:val="auto"/>
                <w:highlight w:val="none"/>
              </w:rPr>
            </w:pPr>
          </w:p>
        </w:tc>
        <w:tc>
          <w:tcPr>
            <w:tcW w:w="1987" w:type="dxa"/>
            <w:tcBorders>
              <w:top w:val="single" w:color="auto" w:sz="6" w:space="0"/>
            </w:tcBorders>
            <w:noWrap w:val="0"/>
            <w:vAlign w:val="top"/>
          </w:tcPr>
          <w:p w14:paraId="7B225172">
            <w:pPr>
              <w:spacing w:before="156" w:after="156" w:line="400" w:lineRule="exact"/>
              <w:rPr>
                <w:rFonts w:hint="eastAsia" w:ascii="宋体"/>
                <w:color w:val="auto"/>
                <w:highlight w:val="none"/>
              </w:rPr>
            </w:pPr>
          </w:p>
        </w:tc>
        <w:tc>
          <w:tcPr>
            <w:tcW w:w="1723" w:type="dxa"/>
            <w:tcBorders>
              <w:top w:val="single" w:color="auto" w:sz="6" w:space="0"/>
            </w:tcBorders>
            <w:noWrap w:val="0"/>
            <w:vAlign w:val="top"/>
          </w:tcPr>
          <w:p w14:paraId="6EA5E8FB">
            <w:pPr>
              <w:spacing w:before="156" w:after="156" w:line="400" w:lineRule="exact"/>
              <w:rPr>
                <w:rFonts w:hint="eastAsia" w:ascii="宋体"/>
                <w:color w:val="auto"/>
                <w:highlight w:val="none"/>
              </w:rPr>
            </w:pPr>
          </w:p>
        </w:tc>
        <w:tc>
          <w:tcPr>
            <w:tcW w:w="1192" w:type="dxa"/>
            <w:tcBorders>
              <w:top w:val="single" w:color="auto" w:sz="6" w:space="0"/>
            </w:tcBorders>
            <w:noWrap w:val="0"/>
            <w:vAlign w:val="top"/>
          </w:tcPr>
          <w:p w14:paraId="5638E0EF">
            <w:pPr>
              <w:spacing w:before="156" w:after="156" w:line="400" w:lineRule="exact"/>
              <w:rPr>
                <w:rFonts w:hint="eastAsia" w:ascii="宋体"/>
                <w:color w:val="auto"/>
                <w:highlight w:val="none"/>
              </w:rPr>
            </w:pPr>
          </w:p>
        </w:tc>
        <w:tc>
          <w:tcPr>
            <w:tcW w:w="1458" w:type="dxa"/>
            <w:tcBorders>
              <w:top w:val="single" w:color="auto" w:sz="6" w:space="0"/>
            </w:tcBorders>
            <w:noWrap w:val="0"/>
            <w:vAlign w:val="top"/>
          </w:tcPr>
          <w:p w14:paraId="7054742C">
            <w:pPr>
              <w:spacing w:before="156" w:after="156" w:line="400" w:lineRule="exact"/>
              <w:rPr>
                <w:rFonts w:hint="eastAsia" w:ascii="宋体"/>
                <w:color w:val="auto"/>
                <w:highlight w:val="none"/>
              </w:rPr>
            </w:pPr>
          </w:p>
        </w:tc>
        <w:tc>
          <w:tcPr>
            <w:tcW w:w="1458" w:type="dxa"/>
            <w:tcBorders>
              <w:top w:val="single" w:color="auto" w:sz="6" w:space="0"/>
            </w:tcBorders>
            <w:noWrap w:val="0"/>
            <w:vAlign w:val="top"/>
          </w:tcPr>
          <w:p w14:paraId="1A9610D6">
            <w:pPr>
              <w:spacing w:before="156" w:after="156" w:line="400" w:lineRule="exact"/>
              <w:rPr>
                <w:rFonts w:hint="eastAsia" w:ascii="宋体"/>
                <w:color w:val="auto"/>
                <w:highlight w:val="none"/>
              </w:rPr>
            </w:pPr>
          </w:p>
        </w:tc>
      </w:tr>
      <w:tr w14:paraId="62E919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662" w:type="dxa"/>
            <w:noWrap w:val="0"/>
            <w:vAlign w:val="top"/>
          </w:tcPr>
          <w:p w14:paraId="20BF3BD1">
            <w:pPr>
              <w:spacing w:before="156" w:after="156" w:line="400" w:lineRule="exact"/>
              <w:jc w:val="center"/>
              <w:rPr>
                <w:rFonts w:hint="eastAsia" w:ascii="宋体" w:eastAsiaTheme="minorEastAsia"/>
                <w:color w:val="auto"/>
                <w:highlight w:val="none"/>
                <w:lang w:val="en-US" w:eastAsia="zh-CN"/>
              </w:rPr>
            </w:pPr>
            <w:r>
              <w:rPr>
                <w:rFonts w:hint="eastAsia" w:ascii="宋体"/>
                <w:color w:val="auto"/>
                <w:highlight w:val="none"/>
                <w:lang w:val="en-US" w:eastAsia="zh-CN"/>
              </w:rPr>
              <w:t>2</w:t>
            </w:r>
          </w:p>
        </w:tc>
        <w:tc>
          <w:tcPr>
            <w:tcW w:w="1855" w:type="dxa"/>
            <w:noWrap w:val="0"/>
            <w:vAlign w:val="top"/>
          </w:tcPr>
          <w:p w14:paraId="1CDEF0C5">
            <w:pPr>
              <w:spacing w:before="156" w:after="156" w:line="400" w:lineRule="exact"/>
              <w:rPr>
                <w:rFonts w:hint="eastAsia" w:ascii="宋体"/>
                <w:color w:val="auto"/>
                <w:highlight w:val="none"/>
              </w:rPr>
            </w:pPr>
          </w:p>
        </w:tc>
        <w:tc>
          <w:tcPr>
            <w:tcW w:w="1987" w:type="dxa"/>
            <w:noWrap w:val="0"/>
            <w:vAlign w:val="top"/>
          </w:tcPr>
          <w:p w14:paraId="7A2D0C81">
            <w:pPr>
              <w:spacing w:before="156" w:after="156" w:line="400" w:lineRule="exact"/>
              <w:rPr>
                <w:rFonts w:hint="eastAsia" w:ascii="宋体"/>
                <w:color w:val="auto"/>
                <w:highlight w:val="none"/>
              </w:rPr>
            </w:pPr>
          </w:p>
        </w:tc>
        <w:tc>
          <w:tcPr>
            <w:tcW w:w="1723" w:type="dxa"/>
            <w:noWrap w:val="0"/>
            <w:vAlign w:val="top"/>
          </w:tcPr>
          <w:p w14:paraId="6772C8D0">
            <w:pPr>
              <w:spacing w:before="156" w:after="156" w:line="400" w:lineRule="exact"/>
              <w:rPr>
                <w:rFonts w:hint="eastAsia" w:ascii="宋体"/>
                <w:color w:val="auto"/>
                <w:highlight w:val="none"/>
              </w:rPr>
            </w:pPr>
          </w:p>
        </w:tc>
        <w:tc>
          <w:tcPr>
            <w:tcW w:w="1192" w:type="dxa"/>
            <w:noWrap w:val="0"/>
            <w:vAlign w:val="top"/>
          </w:tcPr>
          <w:p w14:paraId="63AA7ECE">
            <w:pPr>
              <w:spacing w:before="156" w:after="156" w:line="400" w:lineRule="exact"/>
              <w:rPr>
                <w:rFonts w:hint="eastAsia" w:ascii="宋体"/>
                <w:color w:val="auto"/>
                <w:highlight w:val="none"/>
              </w:rPr>
            </w:pPr>
          </w:p>
        </w:tc>
        <w:tc>
          <w:tcPr>
            <w:tcW w:w="1458" w:type="dxa"/>
            <w:noWrap w:val="0"/>
            <w:vAlign w:val="top"/>
          </w:tcPr>
          <w:p w14:paraId="690FD88D">
            <w:pPr>
              <w:spacing w:before="156" w:after="156" w:line="400" w:lineRule="exact"/>
              <w:rPr>
                <w:rFonts w:hint="eastAsia" w:ascii="宋体"/>
                <w:color w:val="auto"/>
                <w:highlight w:val="none"/>
              </w:rPr>
            </w:pPr>
          </w:p>
        </w:tc>
        <w:tc>
          <w:tcPr>
            <w:tcW w:w="1458" w:type="dxa"/>
            <w:noWrap w:val="0"/>
            <w:vAlign w:val="top"/>
          </w:tcPr>
          <w:p w14:paraId="1E93750A">
            <w:pPr>
              <w:spacing w:before="156" w:after="156" w:line="400" w:lineRule="exact"/>
              <w:rPr>
                <w:rFonts w:hint="eastAsia" w:ascii="宋体"/>
                <w:color w:val="auto"/>
                <w:highlight w:val="none"/>
              </w:rPr>
            </w:pPr>
          </w:p>
        </w:tc>
      </w:tr>
      <w:tr w14:paraId="14CEB42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662" w:type="dxa"/>
            <w:noWrap w:val="0"/>
            <w:vAlign w:val="top"/>
          </w:tcPr>
          <w:p w14:paraId="0699BF98">
            <w:pPr>
              <w:spacing w:before="156" w:after="156" w:line="400" w:lineRule="exact"/>
              <w:jc w:val="center"/>
              <w:rPr>
                <w:rFonts w:hint="eastAsia" w:ascii="宋体" w:eastAsiaTheme="minorEastAsia"/>
                <w:color w:val="auto"/>
                <w:highlight w:val="none"/>
                <w:lang w:val="en-US" w:eastAsia="zh-CN"/>
              </w:rPr>
            </w:pPr>
            <w:r>
              <w:rPr>
                <w:rFonts w:hint="eastAsia" w:ascii="宋体"/>
                <w:color w:val="auto"/>
                <w:highlight w:val="none"/>
                <w:lang w:val="en-US" w:eastAsia="zh-CN"/>
              </w:rPr>
              <w:t>3</w:t>
            </w:r>
          </w:p>
        </w:tc>
        <w:tc>
          <w:tcPr>
            <w:tcW w:w="1855" w:type="dxa"/>
            <w:noWrap w:val="0"/>
            <w:vAlign w:val="top"/>
          </w:tcPr>
          <w:p w14:paraId="1573ED02">
            <w:pPr>
              <w:spacing w:before="156" w:after="156" w:line="400" w:lineRule="exact"/>
              <w:rPr>
                <w:rFonts w:hint="eastAsia" w:ascii="宋体"/>
                <w:color w:val="auto"/>
                <w:highlight w:val="none"/>
              </w:rPr>
            </w:pPr>
          </w:p>
        </w:tc>
        <w:tc>
          <w:tcPr>
            <w:tcW w:w="1987" w:type="dxa"/>
            <w:noWrap w:val="0"/>
            <w:vAlign w:val="top"/>
          </w:tcPr>
          <w:p w14:paraId="2BDFEB40">
            <w:pPr>
              <w:spacing w:before="156" w:after="156" w:line="400" w:lineRule="exact"/>
              <w:rPr>
                <w:rFonts w:hint="eastAsia" w:ascii="宋体"/>
                <w:color w:val="auto"/>
                <w:highlight w:val="none"/>
              </w:rPr>
            </w:pPr>
          </w:p>
        </w:tc>
        <w:tc>
          <w:tcPr>
            <w:tcW w:w="1723" w:type="dxa"/>
            <w:noWrap w:val="0"/>
            <w:vAlign w:val="top"/>
          </w:tcPr>
          <w:p w14:paraId="43293EC8">
            <w:pPr>
              <w:spacing w:before="156" w:after="156" w:line="400" w:lineRule="exact"/>
              <w:rPr>
                <w:rFonts w:hint="eastAsia" w:ascii="宋体"/>
                <w:color w:val="auto"/>
                <w:highlight w:val="none"/>
              </w:rPr>
            </w:pPr>
          </w:p>
        </w:tc>
        <w:tc>
          <w:tcPr>
            <w:tcW w:w="1192" w:type="dxa"/>
            <w:noWrap w:val="0"/>
            <w:vAlign w:val="top"/>
          </w:tcPr>
          <w:p w14:paraId="51B22667">
            <w:pPr>
              <w:spacing w:before="156" w:after="156" w:line="400" w:lineRule="exact"/>
              <w:rPr>
                <w:rFonts w:hint="eastAsia" w:ascii="宋体"/>
                <w:color w:val="auto"/>
                <w:highlight w:val="none"/>
              </w:rPr>
            </w:pPr>
          </w:p>
        </w:tc>
        <w:tc>
          <w:tcPr>
            <w:tcW w:w="1458" w:type="dxa"/>
            <w:noWrap w:val="0"/>
            <w:vAlign w:val="top"/>
          </w:tcPr>
          <w:p w14:paraId="662DEB02">
            <w:pPr>
              <w:spacing w:before="156" w:after="156" w:line="400" w:lineRule="exact"/>
              <w:rPr>
                <w:rFonts w:hint="eastAsia" w:ascii="宋体"/>
                <w:color w:val="auto"/>
                <w:highlight w:val="none"/>
              </w:rPr>
            </w:pPr>
          </w:p>
        </w:tc>
        <w:tc>
          <w:tcPr>
            <w:tcW w:w="1458" w:type="dxa"/>
            <w:noWrap w:val="0"/>
            <w:vAlign w:val="top"/>
          </w:tcPr>
          <w:p w14:paraId="14D96A2D">
            <w:pPr>
              <w:spacing w:before="156" w:after="156" w:line="400" w:lineRule="exact"/>
              <w:rPr>
                <w:rFonts w:hint="eastAsia" w:ascii="宋体"/>
                <w:color w:val="auto"/>
                <w:highlight w:val="none"/>
              </w:rPr>
            </w:pPr>
          </w:p>
        </w:tc>
      </w:tr>
      <w:tr w14:paraId="3CD7F29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5" w:hRule="atLeast"/>
        </w:trPr>
        <w:tc>
          <w:tcPr>
            <w:tcW w:w="662" w:type="dxa"/>
            <w:noWrap w:val="0"/>
            <w:vAlign w:val="top"/>
          </w:tcPr>
          <w:p w14:paraId="341638B2">
            <w:pPr>
              <w:spacing w:before="156" w:after="156" w:line="400" w:lineRule="exact"/>
              <w:jc w:val="center"/>
              <w:rPr>
                <w:rFonts w:hint="default" w:ascii="宋体"/>
                <w:color w:val="auto"/>
                <w:highlight w:val="none"/>
                <w:lang w:val="en-US" w:eastAsia="zh-CN"/>
              </w:rPr>
            </w:pPr>
            <w:r>
              <w:rPr>
                <w:rFonts w:hint="eastAsia" w:ascii="宋体"/>
                <w:color w:val="auto"/>
                <w:highlight w:val="none"/>
                <w:lang w:val="en-US" w:eastAsia="zh-CN"/>
              </w:rPr>
              <w:t>...</w:t>
            </w:r>
          </w:p>
        </w:tc>
        <w:tc>
          <w:tcPr>
            <w:tcW w:w="1855" w:type="dxa"/>
            <w:noWrap w:val="0"/>
            <w:vAlign w:val="top"/>
          </w:tcPr>
          <w:p w14:paraId="292DB7AC">
            <w:pPr>
              <w:spacing w:before="156" w:after="156" w:line="400" w:lineRule="exact"/>
              <w:rPr>
                <w:rFonts w:hint="eastAsia" w:ascii="宋体"/>
                <w:color w:val="auto"/>
                <w:highlight w:val="none"/>
              </w:rPr>
            </w:pPr>
          </w:p>
        </w:tc>
        <w:tc>
          <w:tcPr>
            <w:tcW w:w="1987" w:type="dxa"/>
            <w:noWrap w:val="0"/>
            <w:vAlign w:val="top"/>
          </w:tcPr>
          <w:p w14:paraId="713C7073">
            <w:pPr>
              <w:spacing w:before="156" w:after="156" w:line="400" w:lineRule="exact"/>
              <w:rPr>
                <w:rFonts w:hint="eastAsia" w:ascii="宋体"/>
                <w:color w:val="auto"/>
                <w:highlight w:val="none"/>
              </w:rPr>
            </w:pPr>
          </w:p>
        </w:tc>
        <w:tc>
          <w:tcPr>
            <w:tcW w:w="1723" w:type="dxa"/>
            <w:noWrap w:val="0"/>
            <w:vAlign w:val="top"/>
          </w:tcPr>
          <w:p w14:paraId="74FE407D">
            <w:pPr>
              <w:spacing w:before="156" w:after="156" w:line="400" w:lineRule="exact"/>
              <w:rPr>
                <w:rFonts w:hint="eastAsia" w:ascii="宋体"/>
                <w:color w:val="auto"/>
                <w:highlight w:val="none"/>
              </w:rPr>
            </w:pPr>
          </w:p>
        </w:tc>
        <w:tc>
          <w:tcPr>
            <w:tcW w:w="1192" w:type="dxa"/>
            <w:noWrap w:val="0"/>
            <w:vAlign w:val="top"/>
          </w:tcPr>
          <w:p w14:paraId="111002E1">
            <w:pPr>
              <w:spacing w:before="156" w:after="156" w:line="400" w:lineRule="exact"/>
              <w:rPr>
                <w:rFonts w:hint="eastAsia" w:ascii="宋体"/>
                <w:color w:val="auto"/>
                <w:highlight w:val="none"/>
              </w:rPr>
            </w:pPr>
          </w:p>
        </w:tc>
        <w:tc>
          <w:tcPr>
            <w:tcW w:w="1458" w:type="dxa"/>
            <w:noWrap w:val="0"/>
            <w:vAlign w:val="top"/>
          </w:tcPr>
          <w:p w14:paraId="5F9D4356">
            <w:pPr>
              <w:spacing w:before="156" w:after="156" w:line="400" w:lineRule="exact"/>
              <w:rPr>
                <w:rFonts w:hint="eastAsia" w:ascii="宋体"/>
                <w:color w:val="auto"/>
                <w:highlight w:val="none"/>
              </w:rPr>
            </w:pPr>
          </w:p>
        </w:tc>
        <w:tc>
          <w:tcPr>
            <w:tcW w:w="1458" w:type="dxa"/>
            <w:noWrap w:val="0"/>
            <w:vAlign w:val="top"/>
          </w:tcPr>
          <w:p w14:paraId="4CD57F2E">
            <w:pPr>
              <w:spacing w:before="156" w:after="156" w:line="400" w:lineRule="exact"/>
              <w:rPr>
                <w:rFonts w:hint="eastAsia" w:ascii="宋体"/>
                <w:color w:val="auto"/>
                <w:highlight w:val="none"/>
              </w:rPr>
            </w:pPr>
          </w:p>
        </w:tc>
      </w:tr>
    </w:tbl>
    <w:p w14:paraId="6EC358AC">
      <w:pPr>
        <w:pStyle w:val="4"/>
        <w:ind w:left="0" w:firstLine="0"/>
        <w:rPr>
          <w:rFonts w:ascii="Times New Roman" w:hAnsi="Times New Roman"/>
          <w:color w:val="auto"/>
          <w:szCs w:val="20"/>
          <w:highlight w:val="none"/>
        </w:rPr>
      </w:pPr>
      <w:r>
        <w:rPr>
          <w:rFonts w:hint="eastAsia"/>
          <w:b/>
          <w:color w:val="auto"/>
          <w:szCs w:val="21"/>
          <w:highlight w:val="none"/>
        </w:rPr>
        <w:t>注：</w:t>
      </w:r>
      <w:r>
        <w:rPr>
          <w:rFonts w:hint="eastAsia"/>
          <w:b/>
          <w:color w:val="auto"/>
          <w:szCs w:val="21"/>
          <w:highlight w:val="none"/>
          <w:lang w:eastAsia="zh-CN"/>
        </w:rPr>
        <w:t>服务商</w:t>
      </w:r>
      <w:r>
        <w:rPr>
          <w:rFonts w:hint="eastAsia"/>
          <w:b/>
          <w:color w:val="auto"/>
          <w:szCs w:val="21"/>
          <w:highlight w:val="none"/>
        </w:rPr>
        <w:t>必须如实填写此表格。</w:t>
      </w:r>
      <w:r>
        <w:rPr>
          <w:rFonts w:hint="eastAsia" w:ascii="Times New Roman" w:hAnsi="Times New Roman"/>
          <w:color w:val="auto"/>
          <w:szCs w:val="20"/>
          <w:highlight w:val="none"/>
        </w:rPr>
        <w:t>（此表可延长）</w:t>
      </w:r>
    </w:p>
    <w:p w14:paraId="09823014">
      <w:pPr>
        <w:spacing w:line="360" w:lineRule="auto"/>
        <w:rPr>
          <w:color w:val="auto"/>
          <w:szCs w:val="21"/>
          <w:highlight w:val="none"/>
        </w:rPr>
      </w:pPr>
    </w:p>
    <w:p w14:paraId="5F7ADE55">
      <w:pPr>
        <w:spacing w:line="360" w:lineRule="auto"/>
        <w:rPr>
          <w:color w:val="auto"/>
          <w:szCs w:val="21"/>
          <w:highlight w:val="none"/>
        </w:rPr>
      </w:pPr>
    </w:p>
    <w:p w14:paraId="018F46B7">
      <w:pPr>
        <w:adjustRightInd w:val="0"/>
        <w:snapToGrid w:val="0"/>
        <w:spacing w:line="360" w:lineRule="auto"/>
        <w:rPr>
          <w:rFonts w:hint="eastAsia"/>
          <w:color w:val="auto"/>
          <w:szCs w:val="21"/>
          <w:highlight w:val="none"/>
        </w:rPr>
      </w:pPr>
      <w:r>
        <w:rPr>
          <w:rFonts w:hint="eastAsia"/>
          <w:color w:val="auto"/>
          <w:szCs w:val="21"/>
          <w:highlight w:val="none"/>
          <w:lang w:eastAsia="zh-CN"/>
        </w:rPr>
        <w:t>服务商</w:t>
      </w:r>
      <w:r>
        <w:rPr>
          <w:rFonts w:hint="eastAsia"/>
          <w:color w:val="auto"/>
          <w:szCs w:val="21"/>
          <w:highlight w:val="none"/>
        </w:rPr>
        <w:t>法定代表人（或法定代表人授权代表）签字：</w:t>
      </w:r>
      <w:r>
        <w:rPr>
          <w:rFonts w:hint="eastAsia"/>
          <w:color w:val="auto"/>
          <w:szCs w:val="21"/>
          <w:highlight w:val="none"/>
          <w:u w:val="single"/>
        </w:rPr>
        <w:t xml:space="preserve">                   </w:t>
      </w:r>
    </w:p>
    <w:p w14:paraId="05164E33">
      <w:pPr>
        <w:adjustRightInd w:val="0"/>
        <w:snapToGrid w:val="0"/>
        <w:spacing w:line="360" w:lineRule="auto"/>
        <w:rPr>
          <w:rFonts w:hint="eastAsia"/>
          <w:color w:val="auto"/>
          <w:szCs w:val="21"/>
          <w:highlight w:val="none"/>
          <w:u w:val="single"/>
        </w:rPr>
      </w:pPr>
      <w:r>
        <w:rPr>
          <w:rFonts w:hint="eastAsia"/>
          <w:color w:val="auto"/>
          <w:szCs w:val="21"/>
          <w:highlight w:val="none"/>
          <w:lang w:eastAsia="zh-CN"/>
        </w:rPr>
        <w:t>服务商名称（盖章）</w:t>
      </w:r>
      <w:r>
        <w:rPr>
          <w:rFonts w:hint="eastAsia"/>
          <w:color w:val="auto"/>
          <w:szCs w:val="21"/>
          <w:highlight w:val="none"/>
        </w:rPr>
        <w:t>：</w:t>
      </w:r>
      <w:r>
        <w:rPr>
          <w:rFonts w:hint="eastAsia"/>
          <w:color w:val="auto"/>
          <w:szCs w:val="21"/>
          <w:highlight w:val="none"/>
          <w:u w:val="single"/>
        </w:rPr>
        <w:t xml:space="preserve">                        </w:t>
      </w:r>
    </w:p>
    <w:p w14:paraId="2488A652">
      <w:pPr>
        <w:spacing w:line="360" w:lineRule="auto"/>
        <w:rPr>
          <w:rFonts w:hint="eastAsia"/>
          <w:color w:val="auto"/>
          <w:szCs w:val="21"/>
          <w:highlight w:val="none"/>
        </w:rPr>
      </w:pPr>
      <w:r>
        <w:rPr>
          <w:rFonts w:hint="eastAsia"/>
          <w:color w:val="auto"/>
          <w:szCs w:val="21"/>
          <w:highlight w:val="none"/>
        </w:rPr>
        <w:t>日期：   年   月   日</w:t>
      </w:r>
    </w:p>
    <w:p w14:paraId="167AF68D">
      <w:pPr>
        <w:pStyle w:val="27"/>
        <w:numPr>
          <w:ilvl w:val="0"/>
          <w:numId w:val="0"/>
        </w:numPr>
        <w:ind w:leftChars="0"/>
        <w:rPr>
          <w:rStyle w:val="33"/>
          <w:rFonts w:hint="eastAsia" w:hAnsi="宋体" w:cs="宋体" w:asciiTheme="minorHAnsi"/>
          <w:b/>
          <w:bCs/>
          <w:color w:val="auto"/>
          <w:kern w:val="2"/>
          <w:sz w:val="21"/>
          <w:szCs w:val="21"/>
          <w:lang w:val="en-US" w:eastAsia="zh-CN"/>
        </w:rPr>
      </w:pPr>
    </w:p>
    <w:p w14:paraId="3983293B">
      <w:pPr>
        <w:pStyle w:val="27"/>
        <w:numPr>
          <w:ilvl w:val="0"/>
          <w:numId w:val="0"/>
        </w:numPr>
        <w:ind w:leftChars="0"/>
        <w:rPr>
          <w:rStyle w:val="33"/>
          <w:rFonts w:hint="eastAsia" w:hAnsi="宋体" w:cs="宋体" w:asciiTheme="minorHAnsi"/>
          <w:b/>
          <w:bCs/>
          <w:color w:val="auto"/>
          <w:kern w:val="2"/>
          <w:sz w:val="21"/>
          <w:szCs w:val="21"/>
          <w:lang w:val="en-US" w:eastAsia="zh-CN"/>
        </w:rPr>
      </w:pPr>
    </w:p>
    <w:p w14:paraId="52A6AF42">
      <w:pPr>
        <w:pStyle w:val="27"/>
        <w:numPr>
          <w:ilvl w:val="0"/>
          <w:numId w:val="0"/>
        </w:numPr>
        <w:ind w:leftChars="0"/>
        <w:rPr>
          <w:rStyle w:val="33"/>
          <w:rFonts w:hint="eastAsia" w:hAnsi="宋体" w:cs="宋体" w:asciiTheme="minorHAnsi"/>
          <w:b/>
          <w:bCs/>
          <w:color w:val="auto"/>
          <w:kern w:val="2"/>
          <w:sz w:val="21"/>
          <w:szCs w:val="21"/>
          <w:lang w:val="en-US" w:eastAsia="zh-CN"/>
        </w:rPr>
      </w:pPr>
    </w:p>
    <w:p w14:paraId="54E04795">
      <w:pPr>
        <w:pStyle w:val="27"/>
        <w:numPr>
          <w:ilvl w:val="0"/>
          <w:numId w:val="0"/>
        </w:numPr>
        <w:ind w:leftChars="0"/>
        <w:rPr>
          <w:rStyle w:val="33"/>
          <w:rFonts w:hint="eastAsia" w:hAnsi="宋体" w:cs="宋体" w:asciiTheme="minorHAnsi"/>
          <w:b/>
          <w:bCs/>
          <w:color w:val="auto"/>
          <w:kern w:val="2"/>
          <w:sz w:val="21"/>
          <w:szCs w:val="21"/>
          <w:lang w:val="en-US" w:eastAsia="zh-CN"/>
        </w:rPr>
      </w:pPr>
    </w:p>
    <w:p w14:paraId="4AA8A43E">
      <w:pPr>
        <w:pStyle w:val="27"/>
        <w:numPr>
          <w:ilvl w:val="0"/>
          <w:numId w:val="0"/>
        </w:numPr>
        <w:ind w:leftChars="0"/>
        <w:rPr>
          <w:rStyle w:val="33"/>
          <w:rFonts w:hint="eastAsia" w:hAnsi="宋体" w:cs="宋体" w:asciiTheme="minorHAnsi"/>
          <w:b/>
          <w:bCs/>
          <w:color w:val="auto"/>
          <w:kern w:val="2"/>
          <w:sz w:val="21"/>
          <w:szCs w:val="21"/>
          <w:lang w:val="en-US" w:eastAsia="zh-CN"/>
        </w:rPr>
      </w:pPr>
    </w:p>
    <w:p w14:paraId="48EF7885">
      <w:pPr>
        <w:pStyle w:val="27"/>
        <w:numPr>
          <w:ilvl w:val="0"/>
          <w:numId w:val="0"/>
        </w:numPr>
        <w:ind w:leftChars="0"/>
        <w:rPr>
          <w:rStyle w:val="33"/>
          <w:rFonts w:hint="eastAsia" w:hAnsi="宋体" w:cs="宋体" w:asciiTheme="minorHAnsi"/>
          <w:b/>
          <w:bCs/>
          <w:color w:val="auto"/>
          <w:kern w:val="2"/>
          <w:sz w:val="21"/>
          <w:szCs w:val="21"/>
          <w:lang w:val="en-US" w:eastAsia="zh-CN"/>
        </w:rPr>
      </w:pPr>
    </w:p>
    <w:p w14:paraId="029707C1">
      <w:pPr>
        <w:pStyle w:val="27"/>
        <w:numPr>
          <w:ilvl w:val="0"/>
          <w:numId w:val="0"/>
        </w:numPr>
        <w:ind w:leftChars="0"/>
        <w:rPr>
          <w:rStyle w:val="33"/>
          <w:rFonts w:hint="eastAsia" w:hAnsi="宋体" w:cs="宋体" w:asciiTheme="minorHAnsi"/>
          <w:b/>
          <w:bCs/>
          <w:color w:val="auto"/>
          <w:kern w:val="2"/>
          <w:sz w:val="21"/>
          <w:szCs w:val="21"/>
          <w:lang w:val="en-US" w:eastAsia="zh-CN"/>
        </w:rPr>
      </w:pPr>
    </w:p>
    <w:p w14:paraId="03F11231">
      <w:pPr>
        <w:pStyle w:val="27"/>
        <w:numPr>
          <w:ilvl w:val="0"/>
          <w:numId w:val="0"/>
        </w:numPr>
        <w:ind w:leftChars="0"/>
        <w:rPr>
          <w:rStyle w:val="33"/>
          <w:rFonts w:hint="eastAsia" w:hAnsi="宋体" w:cs="宋体" w:asciiTheme="minorHAnsi"/>
          <w:b/>
          <w:bCs/>
          <w:color w:val="auto"/>
          <w:kern w:val="2"/>
          <w:sz w:val="21"/>
          <w:szCs w:val="21"/>
          <w:lang w:val="en-US" w:eastAsia="zh-CN"/>
        </w:rPr>
      </w:pPr>
    </w:p>
    <w:p w14:paraId="138FE16F">
      <w:pPr>
        <w:pStyle w:val="27"/>
        <w:numPr>
          <w:ilvl w:val="0"/>
          <w:numId w:val="0"/>
        </w:numPr>
        <w:ind w:leftChars="0"/>
        <w:rPr>
          <w:rStyle w:val="33"/>
          <w:rFonts w:hint="eastAsia" w:hAnsi="宋体" w:cs="宋体" w:asciiTheme="minorHAnsi"/>
          <w:b/>
          <w:bCs/>
          <w:color w:val="auto"/>
          <w:kern w:val="2"/>
          <w:sz w:val="21"/>
          <w:szCs w:val="21"/>
          <w:lang w:val="en-US" w:eastAsia="zh-CN"/>
        </w:rPr>
      </w:pPr>
    </w:p>
    <w:p w14:paraId="571F72C6">
      <w:pPr>
        <w:pStyle w:val="27"/>
        <w:numPr>
          <w:ilvl w:val="0"/>
          <w:numId w:val="0"/>
        </w:numPr>
        <w:ind w:leftChars="0"/>
        <w:rPr>
          <w:rStyle w:val="33"/>
          <w:rFonts w:hint="eastAsia" w:hAnsi="宋体" w:cs="宋体" w:asciiTheme="minorHAnsi"/>
          <w:b/>
          <w:bCs/>
          <w:color w:val="auto"/>
          <w:kern w:val="2"/>
          <w:sz w:val="21"/>
          <w:szCs w:val="21"/>
          <w:lang w:val="en-US" w:eastAsia="zh-CN"/>
        </w:rPr>
      </w:pPr>
    </w:p>
    <w:p w14:paraId="6FD911C9">
      <w:pPr>
        <w:pStyle w:val="27"/>
        <w:numPr>
          <w:ilvl w:val="0"/>
          <w:numId w:val="0"/>
        </w:numPr>
        <w:ind w:leftChars="0"/>
        <w:rPr>
          <w:rStyle w:val="33"/>
          <w:rFonts w:hint="eastAsia" w:hAnsi="宋体" w:cs="宋体" w:asciiTheme="minorHAnsi"/>
          <w:b/>
          <w:bCs/>
          <w:color w:val="auto"/>
          <w:kern w:val="2"/>
          <w:sz w:val="21"/>
          <w:szCs w:val="21"/>
          <w:lang w:val="en-US" w:eastAsia="zh-CN"/>
        </w:rPr>
      </w:pPr>
    </w:p>
    <w:p w14:paraId="3DF8A41C">
      <w:pPr>
        <w:pStyle w:val="27"/>
        <w:numPr>
          <w:ilvl w:val="0"/>
          <w:numId w:val="0"/>
        </w:numPr>
        <w:ind w:leftChars="0"/>
        <w:rPr>
          <w:rStyle w:val="33"/>
          <w:rFonts w:hint="eastAsia" w:hAnsi="宋体" w:cs="宋体" w:asciiTheme="minorHAnsi"/>
          <w:b/>
          <w:bCs/>
          <w:color w:val="auto"/>
          <w:kern w:val="2"/>
          <w:sz w:val="21"/>
          <w:szCs w:val="21"/>
          <w:lang w:val="en-US" w:eastAsia="zh-CN"/>
        </w:rPr>
      </w:pPr>
    </w:p>
    <w:p w14:paraId="772FEA7A">
      <w:pPr>
        <w:pStyle w:val="27"/>
        <w:numPr>
          <w:ilvl w:val="0"/>
          <w:numId w:val="0"/>
        </w:numPr>
        <w:ind w:leftChars="0"/>
        <w:rPr>
          <w:rStyle w:val="33"/>
          <w:rFonts w:hint="eastAsia" w:hAnsi="宋体" w:cs="宋体" w:asciiTheme="minorHAnsi"/>
          <w:b/>
          <w:bCs/>
          <w:color w:val="auto"/>
          <w:kern w:val="2"/>
          <w:sz w:val="21"/>
          <w:szCs w:val="21"/>
          <w:lang w:val="en-US" w:eastAsia="zh-CN"/>
        </w:rPr>
      </w:pPr>
    </w:p>
    <w:p w14:paraId="5559335C">
      <w:pPr>
        <w:pStyle w:val="27"/>
        <w:numPr>
          <w:ilvl w:val="0"/>
          <w:numId w:val="0"/>
        </w:numPr>
        <w:ind w:leftChars="0"/>
        <w:rPr>
          <w:rStyle w:val="33"/>
          <w:rFonts w:hint="eastAsia" w:hAnsi="宋体" w:cs="宋体" w:asciiTheme="minorHAnsi"/>
          <w:b/>
          <w:bCs/>
          <w:color w:val="auto"/>
          <w:kern w:val="2"/>
          <w:sz w:val="21"/>
          <w:szCs w:val="21"/>
          <w:lang w:val="en-US" w:eastAsia="zh-CN"/>
        </w:rPr>
      </w:pPr>
    </w:p>
    <w:p w14:paraId="67B5D005">
      <w:pPr>
        <w:pStyle w:val="27"/>
        <w:numPr>
          <w:ilvl w:val="0"/>
          <w:numId w:val="0"/>
        </w:numPr>
        <w:ind w:leftChars="0"/>
        <w:rPr>
          <w:rStyle w:val="33"/>
          <w:rFonts w:hint="eastAsia" w:hAnsi="宋体" w:cs="宋体" w:asciiTheme="minorHAnsi"/>
          <w:b/>
          <w:bCs/>
          <w:color w:val="auto"/>
          <w:kern w:val="2"/>
          <w:sz w:val="21"/>
          <w:szCs w:val="21"/>
          <w:lang w:val="en-US" w:eastAsia="zh-CN"/>
        </w:rPr>
      </w:pPr>
    </w:p>
    <w:p w14:paraId="1852CE51">
      <w:pPr>
        <w:pStyle w:val="27"/>
        <w:numPr>
          <w:ilvl w:val="0"/>
          <w:numId w:val="0"/>
        </w:numPr>
        <w:ind w:leftChars="0"/>
        <w:rPr>
          <w:rStyle w:val="33"/>
          <w:rFonts w:hint="eastAsia" w:hAnsi="宋体" w:cs="宋体" w:asciiTheme="minorHAnsi"/>
          <w:b/>
          <w:bCs/>
          <w:color w:val="auto"/>
          <w:kern w:val="2"/>
          <w:sz w:val="21"/>
          <w:szCs w:val="21"/>
          <w:lang w:val="en-US" w:eastAsia="zh-CN"/>
        </w:rPr>
      </w:pPr>
    </w:p>
    <w:p w14:paraId="4FAAC930">
      <w:pPr>
        <w:pStyle w:val="27"/>
        <w:numPr>
          <w:ilvl w:val="0"/>
          <w:numId w:val="0"/>
        </w:numPr>
        <w:ind w:leftChars="0"/>
        <w:rPr>
          <w:rStyle w:val="33"/>
          <w:rFonts w:hint="eastAsia" w:hAnsi="宋体" w:cs="宋体" w:asciiTheme="minorHAnsi"/>
          <w:b/>
          <w:bCs/>
          <w:color w:val="auto"/>
          <w:kern w:val="2"/>
          <w:sz w:val="21"/>
          <w:szCs w:val="21"/>
          <w:lang w:val="en-US" w:eastAsia="zh-CN"/>
        </w:rPr>
      </w:pPr>
    </w:p>
    <w:p w14:paraId="287754E7">
      <w:pPr>
        <w:pStyle w:val="27"/>
        <w:numPr>
          <w:ilvl w:val="0"/>
          <w:numId w:val="0"/>
        </w:numPr>
        <w:ind w:leftChars="0"/>
        <w:rPr>
          <w:rStyle w:val="33"/>
          <w:rFonts w:hint="eastAsia" w:hAnsi="宋体" w:cs="宋体" w:asciiTheme="minorHAnsi"/>
          <w:b/>
          <w:bCs/>
          <w:color w:val="auto"/>
          <w:kern w:val="2"/>
          <w:sz w:val="21"/>
          <w:szCs w:val="21"/>
          <w:lang w:val="en-US" w:eastAsia="zh-CN"/>
        </w:rPr>
      </w:pPr>
    </w:p>
    <w:p w14:paraId="562D7661">
      <w:pPr>
        <w:spacing w:line="240" w:lineRule="auto"/>
        <w:jc w:val="left"/>
        <w:rPr>
          <w:rStyle w:val="33"/>
          <w:rFonts w:hint="default" w:ascii="Times New Roman" w:hAnsi="宋体" w:eastAsia="宋体" w:cs="宋体"/>
          <w:b/>
          <w:bCs/>
          <w:color w:val="auto"/>
          <w:kern w:val="2"/>
          <w:sz w:val="21"/>
          <w:szCs w:val="21"/>
          <w:lang w:val="en-US" w:eastAsia="zh-CN"/>
        </w:rPr>
      </w:pPr>
      <w:r>
        <w:rPr>
          <w:rStyle w:val="33"/>
          <w:rFonts w:hint="eastAsia" w:hAnsi="宋体" w:cs="宋体" w:asciiTheme="minorHAnsi"/>
          <w:b/>
          <w:bCs/>
          <w:color w:val="auto"/>
          <w:kern w:val="2"/>
          <w:sz w:val="21"/>
          <w:szCs w:val="21"/>
          <w:lang w:val="en-US" w:eastAsia="zh-CN"/>
        </w:rPr>
        <w:t>十</w:t>
      </w:r>
      <w:r>
        <w:rPr>
          <w:rStyle w:val="33"/>
          <w:rFonts w:hint="eastAsia" w:hAnsi="宋体" w:cs="宋体"/>
          <w:b/>
          <w:bCs/>
          <w:color w:val="auto"/>
          <w:kern w:val="2"/>
          <w:sz w:val="21"/>
          <w:szCs w:val="21"/>
          <w:lang w:val="en-US" w:eastAsia="zh-CN"/>
        </w:rPr>
        <w:t>六</w:t>
      </w:r>
      <w:r>
        <w:rPr>
          <w:rStyle w:val="33"/>
          <w:rFonts w:hint="eastAsia" w:hAnsi="宋体" w:cs="宋体" w:asciiTheme="minorHAnsi"/>
          <w:b/>
          <w:bCs/>
          <w:color w:val="auto"/>
          <w:kern w:val="2"/>
          <w:sz w:val="21"/>
          <w:szCs w:val="21"/>
          <w:lang w:val="en-US" w:eastAsia="zh-CN"/>
        </w:rPr>
        <w:t>、食堂管理服务方案；</w:t>
      </w:r>
      <w:r>
        <w:rPr>
          <w:rStyle w:val="33"/>
          <w:rFonts w:hint="eastAsia" w:ascii="Times New Roman" w:hAnsi="宋体" w:eastAsia="宋体" w:cs="宋体"/>
          <w:b/>
          <w:bCs/>
          <w:color w:val="auto"/>
          <w:kern w:val="2"/>
          <w:sz w:val="21"/>
          <w:szCs w:val="21"/>
          <w:lang w:val="en-US" w:eastAsia="zh-CN"/>
        </w:rPr>
        <w:t xml:space="preserve">食品安全、原材料管理及食品卫生管理方案 </w:t>
      </w:r>
      <w:r>
        <w:rPr>
          <w:rStyle w:val="33"/>
          <w:rFonts w:hint="eastAsia" w:hAnsi="宋体" w:cs="宋体"/>
          <w:b/>
          <w:bCs/>
          <w:color w:val="auto"/>
          <w:kern w:val="2"/>
          <w:sz w:val="21"/>
          <w:szCs w:val="21"/>
          <w:lang w:val="en-US" w:eastAsia="zh-CN"/>
        </w:rPr>
        <w:t>；菜式菜谱编制能力；应急预案；信息化方案；</w:t>
      </w:r>
      <w:r>
        <w:rPr>
          <w:rStyle w:val="33"/>
          <w:rFonts w:hint="eastAsia" w:ascii="Times New Roman" w:hAnsi="宋体" w:eastAsia="宋体" w:cs="宋体"/>
          <w:b/>
          <w:bCs/>
          <w:color w:val="auto"/>
          <w:kern w:val="2"/>
          <w:sz w:val="21"/>
          <w:szCs w:val="21"/>
          <w:lang w:val="en-US" w:eastAsia="zh-CN"/>
        </w:rPr>
        <w:t>增值服务方案（如有）</w:t>
      </w:r>
      <w:r>
        <w:rPr>
          <w:rStyle w:val="33"/>
          <w:rFonts w:hint="eastAsia" w:hAnsi="宋体" w:cs="宋体"/>
          <w:b/>
          <w:bCs/>
          <w:color w:val="auto"/>
          <w:kern w:val="2"/>
          <w:sz w:val="21"/>
          <w:szCs w:val="21"/>
          <w:lang w:val="en-US" w:eastAsia="zh-CN"/>
        </w:rPr>
        <w:t>；食品原料质量检测相关资料；体现食品安全追溯能力相关资料；体系认证情况；响应服务商拟投入团队人员；体现企业抗风险能力相关资料；体现企业信用相关资料</w:t>
      </w:r>
    </w:p>
    <w:bookmarkEnd w:id="26"/>
    <w:bookmarkEnd w:id="27"/>
    <w:bookmarkEnd w:id="28"/>
    <w:bookmarkEnd w:id="29"/>
    <w:bookmarkEnd w:id="30"/>
    <w:bookmarkEnd w:id="31"/>
    <w:p w14:paraId="0DFBD4DB">
      <w:pPr>
        <w:pStyle w:val="7"/>
        <w:spacing w:line="360" w:lineRule="auto"/>
        <w:jc w:val="center"/>
        <w:rPr>
          <w:rFonts w:hint="eastAsia" w:ascii="宋体" w:hAnsi="宋体" w:eastAsia="宋体" w:cs="宋体"/>
        </w:rPr>
      </w:pPr>
    </w:p>
    <w:p w14:paraId="61D61DB1">
      <w:pPr>
        <w:pStyle w:val="7"/>
        <w:spacing w:line="360" w:lineRule="auto"/>
        <w:jc w:val="center"/>
        <w:rPr>
          <w:rFonts w:hint="eastAsia" w:ascii="宋体" w:hAnsi="宋体" w:eastAsia="宋体" w:cs="宋体"/>
        </w:rPr>
      </w:pPr>
    </w:p>
    <w:p w14:paraId="125EDACF">
      <w:pPr>
        <w:pStyle w:val="7"/>
        <w:spacing w:line="360" w:lineRule="auto"/>
        <w:jc w:val="center"/>
        <w:rPr>
          <w:rFonts w:hint="eastAsia" w:ascii="宋体" w:hAnsi="宋体" w:eastAsia="宋体" w:cs="宋体"/>
        </w:rPr>
      </w:pPr>
    </w:p>
    <w:p w14:paraId="0A9AAC82">
      <w:pPr>
        <w:pStyle w:val="7"/>
        <w:spacing w:line="360" w:lineRule="auto"/>
        <w:jc w:val="center"/>
        <w:rPr>
          <w:rFonts w:hint="eastAsia" w:ascii="宋体" w:hAnsi="宋体" w:eastAsia="宋体" w:cs="宋体"/>
          <w:b/>
          <w:bCs/>
          <w:sz w:val="32"/>
          <w:szCs w:val="36"/>
        </w:rPr>
      </w:pPr>
      <w:r>
        <w:rPr>
          <w:rFonts w:hint="eastAsia" w:ascii="宋体" w:hAnsi="宋体" w:cs="宋体"/>
          <w:b/>
          <w:bCs/>
          <w:sz w:val="32"/>
          <w:szCs w:val="36"/>
          <w:lang w:val="en-US" w:eastAsia="zh-CN"/>
        </w:rPr>
        <w:t>上述资料如有可提供，</w:t>
      </w:r>
      <w:r>
        <w:rPr>
          <w:rFonts w:hint="eastAsia" w:ascii="宋体" w:hAnsi="宋体" w:eastAsia="宋体" w:cs="宋体"/>
          <w:b/>
          <w:bCs/>
          <w:sz w:val="32"/>
          <w:szCs w:val="36"/>
        </w:rPr>
        <w:t>格式自拟</w:t>
      </w:r>
    </w:p>
    <w:p w14:paraId="2348057F">
      <w:pPr>
        <w:spacing w:line="360" w:lineRule="auto"/>
        <w:rPr>
          <w:rFonts w:hint="eastAsia" w:ascii="宋体" w:hAnsi="宋体" w:eastAsia="宋体" w:cs="宋体"/>
        </w:rPr>
      </w:pPr>
    </w:p>
    <w:p w14:paraId="13E7C795">
      <w:pPr>
        <w:spacing w:line="360" w:lineRule="auto"/>
        <w:rPr>
          <w:rFonts w:hint="eastAsia" w:ascii="宋体" w:hAnsi="宋体" w:eastAsia="宋体" w:cs="宋体"/>
        </w:rPr>
      </w:pPr>
    </w:p>
    <w:p w14:paraId="08EF4C31">
      <w:pPr>
        <w:spacing w:line="360" w:lineRule="auto"/>
        <w:rPr>
          <w:rFonts w:hint="eastAsia" w:ascii="宋体" w:hAnsi="宋体" w:eastAsia="宋体" w:cs="宋体"/>
        </w:rPr>
      </w:pPr>
    </w:p>
    <w:p w14:paraId="0F5CD9C7">
      <w:pPr>
        <w:spacing w:line="360" w:lineRule="auto"/>
        <w:rPr>
          <w:rFonts w:hint="eastAsia" w:ascii="宋体" w:hAnsi="宋体" w:eastAsia="宋体" w:cs="宋体"/>
        </w:rPr>
      </w:pPr>
    </w:p>
    <w:p w14:paraId="4A158F55">
      <w:pPr>
        <w:spacing w:line="360" w:lineRule="auto"/>
        <w:rPr>
          <w:rFonts w:hint="eastAsia" w:ascii="宋体" w:hAnsi="宋体" w:eastAsia="宋体" w:cs="宋体"/>
        </w:rPr>
      </w:pPr>
    </w:p>
    <w:p w14:paraId="76EED274">
      <w:pPr>
        <w:spacing w:line="360" w:lineRule="auto"/>
        <w:rPr>
          <w:rFonts w:hint="eastAsia" w:ascii="宋体" w:hAnsi="宋体" w:eastAsia="宋体" w:cs="宋体"/>
        </w:rPr>
      </w:pPr>
    </w:p>
    <w:p w14:paraId="31F251AD">
      <w:pPr>
        <w:spacing w:line="360" w:lineRule="auto"/>
        <w:rPr>
          <w:rFonts w:hint="eastAsia" w:ascii="宋体" w:hAnsi="宋体" w:eastAsia="宋体" w:cs="宋体"/>
        </w:rPr>
      </w:pPr>
    </w:p>
    <w:p w14:paraId="3A4EBC8A">
      <w:pPr>
        <w:spacing w:line="360" w:lineRule="auto"/>
        <w:rPr>
          <w:rFonts w:hint="eastAsia" w:ascii="宋体" w:hAnsi="宋体" w:eastAsia="宋体" w:cs="宋体"/>
        </w:rPr>
      </w:pPr>
    </w:p>
    <w:p w14:paraId="01F582BC">
      <w:pPr>
        <w:spacing w:line="360" w:lineRule="auto"/>
        <w:rPr>
          <w:rFonts w:hint="eastAsia" w:ascii="宋体" w:hAnsi="宋体" w:eastAsia="宋体" w:cs="宋体"/>
        </w:rPr>
      </w:pPr>
    </w:p>
    <w:p w14:paraId="7C85398C">
      <w:pPr>
        <w:spacing w:line="360" w:lineRule="auto"/>
        <w:rPr>
          <w:rFonts w:hint="eastAsia" w:ascii="宋体" w:hAnsi="宋体" w:eastAsia="宋体" w:cs="宋体"/>
        </w:rPr>
      </w:pPr>
    </w:p>
    <w:p w14:paraId="4D26B0A1">
      <w:pPr>
        <w:spacing w:line="360" w:lineRule="auto"/>
        <w:rPr>
          <w:rFonts w:hint="eastAsia" w:ascii="宋体" w:hAnsi="宋体" w:eastAsia="宋体" w:cs="宋体"/>
        </w:rPr>
      </w:pPr>
    </w:p>
    <w:p w14:paraId="6716AB61">
      <w:pPr>
        <w:spacing w:line="360" w:lineRule="auto"/>
        <w:rPr>
          <w:rFonts w:hint="eastAsia" w:ascii="宋体" w:hAnsi="宋体" w:eastAsia="宋体" w:cs="宋体"/>
        </w:rPr>
      </w:pPr>
    </w:p>
    <w:p w14:paraId="327BE510">
      <w:pPr>
        <w:spacing w:line="360" w:lineRule="auto"/>
        <w:rPr>
          <w:rFonts w:hint="eastAsia" w:ascii="宋体" w:hAnsi="宋体" w:eastAsia="宋体" w:cs="宋体"/>
        </w:rPr>
      </w:pPr>
    </w:p>
    <w:p w14:paraId="085CEC12">
      <w:pPr>
        <w:spacing w:line="360" w:lineRule="auto"/>
        <w:rPr>
          <w:rFonts w:hint="eastAsia" w:ascii="宋体" w:hAnsi="宋体" w:eastAsia="宋体" w:cs="宋体"/>
        </w:rPr>
      </w:pPr>
    </w:p>
    <w:p w14:paraId="7E5DFE4E">
      <w:pPr>
        <w:spacing w:line="360" w:lineRule="auto"/>
        <w:rPr>
          <w:rFonts w:hint="eastAsia" w:ascii="宋体" w:hAnsi="宋体" w:eastAsia="宋体" w:cs="宋体"/>
        </w:rPr>
      </w:pPr>
    </w:p>
    <w:p w14:paraId="13620B86">
      <w:pPr>
        <w:spacing w:line="360" w:lineRule="auto"/>
        <w:rPr>
          <w:rFonts w:hint="eastAsia" w:ascii="宋体" w:hAnsi="宋体" w:eastAsia="宋体" w:cs="宋体"/>
        </w:rPr>
      </w:pPr>
    </w:p>
    <w:p w14:paraId="375F3860">
      <w:pPr>
        <w:spacing w:line="360" w:lineRule="auto"/>
        <w:rPr>
          <w:rFonts w:hint="eastAsia" w:ascii="宋体" w:hAnsi="宋体" w:eastAsia="宋体" w:cs="宋体"/>
        </w:rPr>
      </w:pPr>
    </w:p>
    <w:p w14:paraId="48A5FA11">
      <w:pPr>
        <w:spacing w:line="360" w:lineRule="auto"/>
        <w:rPr>
          <w:rFonts w:hint="eastAsia" w:ascii="宋体" w:hAnsi="宋体" w:eastAsia="宋体" w:cs="宋体"/>
        </w:rPr>
      </w:pPr>
    </w:p>
    <w:p w14:paraId="68A41DFD">
      <w:pPr>
        <w:spacing w:line="360" w:lineRule="auto"/>
        <w:rPr>
          <w:rFonts w:hint="eastAsia" w:ascii="宋体" w:hAnsi="宋体" w:eastAsia="宋体" w:cs="宋体"/>
        </w:rPr>
      </w:pPr>
    </w:p>
    <w:p w14:paraId="2846856D">
      <w:pPr>
        <w:spacing w:line="360" w:lineRule="auto"/>
        <w:rPr>
          <w:rFonts w:hint="eastAsia" w:ascii="宋体" w:hAnsi="宋体" w:eastAsia="宋体" w:cs="宋体"/>
        </w:rPr>
      </w:pPr>
    </w:p>
    <w:p w14:paraId="533F3F6B">
      <w:pPr>
        <w:spacing w:line="360" w:lineRule="auto"/>
        <w:rPr>
          <w:rFonts w:hint="eastAsia" w:ascii="宋体" w:hAnsi="宋体" w:eastAsia="宋体" w:cs="宋体"/>
        </w:rPr>
      </w:pPr>
    </w:p>
    <w:p w14:paraId="1A52B743">
      <w:pPr>
        <w:spacing w:line="360" w:lineRule="auto"/>
        <w:rPr>
          <w:rFonts w:hint="eastAsia" w:ascii="宋体" w:hAnsi="宋体" w:eastAsia="宋体" w:cs="宋体"/>
        </w:rPr>
      </w:pPr>
    </w:p>
    <w:p w14:paraId="7269A234">
      <w:pPr>
        <w:spacing w:line="360" w:lineRule="auto"/>
        <w:rPr>
          <w:rFonts w:hint="eastAsia" w:ascii="宋体" w:hAnsi="宋体" w:eastAsia="宋体" w:cs="宋体"/>
        </w:rPr>
      </w:pPr>
    </w:p>
    <w:p w14:paraId="00C0E417">
      <w:pPr>
        <w:pStyle w:val="27"/>
        <w:numPr>
          <w:ilvl w:val="0"/>
          <w:numId w:val="0"/>
        </w:numPr>
        <w:ind w:leftChars="0"/>
        <w:rPr>
          <w:rStyle w:val="33"/>
          <w:rFonts w:hint="eastAsia" w:hAnsi="宋体" w:cs="宋体" w:asciiTheme="minorHAnsi"/>
          <w:b/>
          <w:bCs/>
          <w:color w:val="auto"/>
          <w:kern w:val="2"/>
          <w:sz w:val="21"/>
          <w:szCs w:val="21"/>
          <w:lang w:val="en-US" w:eastAsia="zh-CN"/>
        </w:rPr>
      </w:pPr>
      <w:r>
        <w:rPr>
          <w:rStyle w:val="33"/>
          <w:rFonts w:hint="eastAsia" w:hAnsi="宋体" w:eastAsia="宋体" w:cs="宋体" w:asciiTheme="minorHAnsi"/>
          <w:b/>
          <w:bCs/>
          <w:color w:val="auto"/>
          <w:kern w:val="2"/>
          <w:sz w:val="21"/>
          <w:szCs w:val="21"/>
          <w:lang w:val="en-US" w:eastAsia="zh-CN"/>
        </w:rPr>
        <w:t>十七、服务商</w:t>
      </w:r>
      <w:r>
        <w:rPr>
          <w:rStyle w:val="33"/>
          <w:rFonts w:hint="eastAsia" w:hAnsi="宋体" w:cs="宋体" w:asciiTheme="minorHAnsi"/>
          <w:b/>
          <w:bCs/>
          <w:color w:val="auto"/>
          <w:kern w:val="2"/>
          <w:sz w:val="21"/>
          <w:szCs w:val="21"/>
          <w:lang w:val="en-US" w:eastAsia="zh-CN"/>
        </w:rPr>
        <w:t>认为需要提供的其他材料</w:t>
      </w:r>
    </w:p>
    <w:p w14:paraId="5DE6B156">
      <w:pPr>
        <w:spacing w:line="360" w:lineRule="auto"/>
        <w:rPr>
          <w:rFonts w:hint="eastAsia" w:ascii="宋体" w:hAnsi="宋体" w:eastAsia="宋体" w:cs="宋体"/>
          <w:lang w:val="en-US" w:eastAsia="zh-CN"/>
        </w:rPr>
      </w:pPr>
    </w:p>
    <w:p w14:paraId="75C65095">
      <w:pPr>
        <w:pStyle w:val="7"/>
        <w:rPr>
          <w:rFonts w:hint="eastAsia" w:ascii="宋体" w:hAnsi="宋体" w:eastAsia="宋体" w:cs="宋体"/>
          <w:sz w:val="24"/>
          <w:szCs w:val="24"/>
        </w:rPr>
      </w:pPr>
    </w:p>
    <w:sectPr>
      <w:headerReference r:id="rId5" w:type="default"/>
      <w:footerReference r:id="rId6" w:type="default"/>
      <w:pgSz w:w="11906" w:h="16838"/>
      <w:pgMar w:top="1440" w:right="1800" w:bottom="1440" w:left="1800" w:header="851" w:footer="992" w:gutter="0"/>
      <w:pgNumType w:fmt="decimal" w:start="4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SimSun-Identity-H">
    <w:altName w:val="宋体"/>
    <w:panose1 w:val="00000000000000000000"/>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0A3CCB">
    <w:pPr>
      <w:pStyle w:val="1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7EE25C">
                          <w:pPr>
                            <w:pStyle w:val="1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C7EE25C">
                    <w:pPr>
                      <w:pStyle w:val="1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FA9AB">
    <w:pPr>
      <w:pStyle w:val="1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387F4A">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6387F4A">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4D3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55B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7ADBE"/>
    <w:multiLevelType w:val="singleLevel"/>
    <w:tmpl w:val="B3C7ADBE"/>
    <w:lvl w:ilvl="0" w:tentative="0">
      <w:start w:val="1"/>
      <w:numFmt w:val="chineseCounting"/>
      <w:suff w:val="space"/>
      <w:lvlText w:val="第%1部分"/>
      <w:lvlJc w:val="left"/>
      <w:rPr>
        <w:rFonts w:hint="eastAsia"/>
      </w:rPr>
    </w:lvl>
  </w:abstractNum>
  <w:abstractNum w:abstractNumId="1">
    <w:nsid w:val="BD388BF0"/>
    <w:multiLevelType w:val="singleLevel"/>
    <w:tmpl w:val="BD388BF0"/>
    <w:lvl w:ilvl="0" w:tentative="0">
      <w:start w:val="1"/>
      <w:numFmt w:val="decimal"/>
      <w:lvlText w:val="%1."/>
      <w:lvlJc w:val="left"/>
      <w:pPr>
        <w:tabs>
          <w:tab w:val="left" w:pos="312"/>
        </w:tabs>
      </w:pPr>
    </w:lvl>
  </w:abstractNum>
  <w:abstractNum w:abstractNumId="2">
    <w:nsid w:val="EA864B1B"/>
    <w:multiLevelType w:val="singleLevel"/>
    <w:tmpl w:val="EA864B1B"/>
    <w:lvl w:ilvl="0" w:tentative="0">
      <w:start w:val="1"/>
      <w:numFmt w:val="decimal"/>
      <w:suff w:val="nothing"/>
      <w:lvlText w:val="%1．"/>
      <w:lvlJc w:val="left"/>
      <w:pPr>
        <w:ind w:left="0" w:firstLine="400"/>
      </w:pPr>
      <w:rPr>
        <w:rFonts w:hint="default"/>
      </w:rPr>
    </w:lvl>
  </w:abstractNum>
  <w:abstractNum w:abstractNumId="3">
    <w:nsid w:val="EDA5B547"/>
    <w:multiLevelType w:val="singleLevel"/>
    <w:tmpl w:val="EDA5B547"/>
    <w:lvl w:ilvl="0" w:tentative="0">
      <w:start w:val="1"/>
      <w:numFmt w:val="chineseCounting"/>
      <w:suff w:val="nothing"/>
      <w:lvlText w:val="%1、"/>
      <w:lvlJc w:val="left"/>
      <w:pPr>
        <w:ind w:left="0" w:firstLine="420"/>
      </w:pPr>
      <w:rPr>
        <w:rFonts w:hint="eastAsia"/>
      </w:rPr>
    </w:lvl>
  </w:abstractNum>
  <w:abstractNum w:abstractNumId="4">
    <w:nsid w:val="1CF4B4A5"/>
    <w:multiLevelType w:val="singleLevel"/>
    <w:tmpl w:val="1CF4B4A5"/>
    <w:lvl w:ilvl="0" w:tentative="0">
      <w:start w:val="1"/>
      <w:numFmt w:val="decimal"/>
      <w:lvlText w:val="%1."/>
      <w:lvlJc w:val="left"/>
      <w:pPr>
        <w:tabs>
          <w:tab w:val="left" w:pos="312"/>
        </w:tabs>
      </w:pPr>
    </w:lvl>
  </w:abstractNum>
  <w:abstractNum w:abstractNumId="5">
    <w:nsid w:val="4E3B7D2D"/>
    <w:multiLevelType w:val="singleLevel"/>
    <w:tmpl w:val="4E3B7D2D"/>
    <w:lvl w:ilvl="0" w:tentative="0">
      <w:start w:val="15"/>
      <w:numFmt w:val="chineseCounting"/>
      <w:suff w:val="nothing"/>
      <w:lvlText w:val="%1、"/>
      <w:lvlJc w:val="left"/>
      <w:rPr>
        <w:rFonts w:hint="eastAsia"/>
      </w:rPr>
    </w:lvl>
  </w:abstractNum>
  <w:abstractNum w:abstractNumId="6">
    <w:nsid w:val="5389AB2D"/>
    <w:multiLevelType w:val="singleLevel"/>
    <w:tmpl w:val="5389AB2D"/>
    <w:lvl w:ilvl="0" w:tentative="0">
      <w:start w:val="1"/>
      <w:numFmt w:val="decimal"/>
      <w:suff w:val="nothing"/>
      <w:lvlText w:val="%1、"/>
      <w:lvlJc w:val="left"/>
    </w:lvl>
  </w:abstractNum>
  <w:abstractNum w:abstractNumId="7">
    <w:nsid w:val="6FEF5E58"/>
    <w:multiLevelType w:val="singleLevel"/>
    <w:tmpl w:val="6FEF5E58"/>
    <w:lvl w:ilvl="0" w:tentative="0">
      <w:start w:val="1"/>
      <w:numFmt w:val="decimal"/>
      <w:lvlText w:val="%1."/>
      <w:lvlJc w:val="left"/>
      <w:pPr>
        <w:ind w:left="425" w:hanging="425"/>
      </w:pPr>
      <w:rPr>
        <w:rFonts w:hint="default"/>
      </w:rPr>
    </w:lvl>
  </w:abstractNum>
  <w:num w:numId="1">
    <w:abstractNumId w:val="0"/>
  </w:num>
  <w:num w:numId="2">
    <w:abstractNumId w:val="3"/>
  </w:num>
  <w:num w:numId="3">
    <w:abstractNumId w:val="2"/>
  </w:num>
  <w:num w:numId="4">
    <w:abstractNumId w:val="1"/>
  </w:num>
  <w:num w:numId="5">
    <w:abstractNumId w:val="6"/>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7109F4"/>
    <w:rsid w:val="017A03BD"/>
    <w:rsid w:val="05873104"/>
    <w:rsid w:val="0C647663"/>
    <w:rsid w:val="0CAA4F82"/>
    <w:rsid w:val="0CBD4786"/>
    <w:rsid w:val="0FFA0DD5"/>
    <w:rsid w:val="103635AA"/>
    <w:rsid w:val="10EF00F3"/>
    <w:rsid w:val="12251A76"/>
    <w:rsid w:val="15672590"/>
    <w:rsid w:val="173B6FF4"/>
    <w:rsid w:val="18E44580"/>
    <w:rsid w:val="18E706A9"/>
    <w:rsid w:val="19FE6256"/>
    <w:rsid w:val="1A475CB0"/>
    <w:rsid w:val="1B394FE3"/>
    <w:rsid w:val="1B626DED"/>
    <w:rsid w:val="1B7109F4"/>
    <w:rsid w:val="1ECD726C"/>
    <w:rsid w:val="20DC30D9"/>
    <w:rsid w:val="238E494F"/>
    <w:rsid w:val="23F23130"/>
    <w:rsid w:val="256266D4"/>
    <w:rsid w:val="26415CA9"/>
    <w:rsid w:val="2751016E"/>
    <w:rsid w:val="2B7C391D"/>
    <w:rsid w:val="2D9E60D7"/>
    <w:rsid w:val="2DD56DC9"/>
    <w:rsid w:val="2F120B2A"/>
    <w:rsid w:val="2F5510CD"/>
    <w:rsid w:val="311B4E78"/>
    <w:rsid w:val="31C003CA"/>
    <w:rsid w:val="31CA31BC"/>
    <w:rsid w:val="33697E65"/>
    <w:rsid w:val="347418D4"/>
    <w:rsid w:val="357C0AAC"/>
    <w:rsid w:val="36C758BB"/>
    <w:rsid w:val="381B7B16"/>
    <w:rsid w:val="38C029F2"/>
    <w:rsid w:val="3A9D66C5"/>
    <w:rsid w:val="3B417724"/>
    <w:rsid w:val="3D6217FA"/>
    <w:rsid w:val="3DAC0808"/>
    <w:rsid w:val="3EED1306"/>
    <w:rsid w:val="42073DF3"/>
    <w:rsid w:val="43CE77D7"/>
    <w:rsid w:val="44847058"/>
    <w:rsid w:val="47594790"/>
    <w:rsid w:val="47BF5C91"/>
    <w:rsid w:val="47EF67CA"/>
    <w:rsid w:val="48B9571B"/>
    <w:rsid w:val="4AC41010"/>
    <w:rsid w:val="4C7D50DD"/>
    <w:rsid w:val="4DD87D99"/>
    <w:rsid w:val="50353F42"/>
    <w:rsid w:val="505712E6"/>
    <w:rsid w:val="575360F3"/>
    <w:rsid w:val="582C4A60"/>
    <w:rsid w:val="5FD924D3"/>
    <w:rsid w:val="6024173B"/>
    <w:rsid w:val="60ED616B"/>
    <w:rsid w:val="6499204D"/>
    <w:rsid w:val="66FB5425"/>
    <w:rsid w:val="68381DCA"/>
    <w:rsid w:val="696D31FC"/>
    <w:rsid w:val="6FFA2883"/>
    <w:rsid w:val="707F67B5"/>
    <w:rsid w:val="708B2081"/>
    <w:rsid w:val="714552F4"/>
    <w:rsid w:val="723810AB"/>
    <w:rsid w:val="73B173F9"/>
    <w:rsid w:val="76A42F94"/>
    <w:rsid w:val="7737049B"/>
    <w:rsid w:val="77632F33"/>
    <w:rsid w:val="7BB64C58"/>
    <w:rsid w:val="7E030E22"/>
    <w:rsid w:val="7E237D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4">
    <w:name w:val="heading 4"/>
    <w:basedOn w:val="1"/>
    <w:next w:val="1"/>
    <w:qFormat/>
    <w:uiPriority w:val="0"/>
    <w:pPr>
      <w:widowControl w:val="0"/>
      <w:tabs>
        <w:tab w:val="left" w:pos="864"/>
      </w:tabs>
      <w:autoSpaceDE w:val="0"/>
      <w:autoSpaceDN w:val="0"/>
      <w:adjustRightInd w:val="0"/>
      <w:snapToGrid w:val="0"/>
      <w:spacing w:line="360" w:lineRule="auto"/>
      <w:ind w:left="864" w:hanging="864"/>
      <w:jc w:val="both"/>
      <w:outlineLvl w:val="3"/>
    </w:pPr>
    <w:rPr>
      <w:rFonts w:ascii="宋体" w:hAnsi="Arial"/>
      <w:snapToGrid w:val="0"/>
      <w:color w:val="000000"/>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5">
    <w:name w:val="Normal Indent"/>
    <w:basedOn w:val="1"/>
    <w:next w:val="1"/>
    <w:qFormat/>
    <w:uiPriority w:val="0"/>
    <w:pPr>
      <w:ind w:firstLine="420"/>
    </w:pPr>
  </w:style>
  <w:style w:type="paragraph" w:styleId="6">
    <w:name w:val="annotation text"/>
    <w:basedOn w:val="1"/>
    <w:qFormat/>
    <w:uiPriority w:val="0"/>
    <w:pPr>
      <w:jc w:val="left"/>
    </w:pPr>
    <w:rPr>
      <w:rFonts w:ascii="Times New Roman" w:hAnsi="Times New Roman" w:cs="Times New Roman"/>
      <w:kern w:val="0"/>
      <w:sz w:val="24"/>
    </w:rPr>
  </w:style>
  <w:style w:type="paragraph" w:styleId="7">
    <w:name w:val="Body Text"/>
    <w:basedOn w:val="1"/>
    <w:next w:val="8"/>
    <w:qFormat/>
    <w:uiPriority w:val="0"/>
    <w:pPr>
      <w:spacing w:line="360" w:lineRule="auto"/>
    </w:pPr>
    <w:rPr>
      <w:szCs w:val="20"/>
    </w:rPr>
  </w:style>
  <w:style w:type="paragraph" w:styleId="8">
    <w:name w:val="toc 5"/>
    <w:basedOn w:val="1"/>
    <w:next w:val="1"/>
    <w:qFormat/>
    <w:uiPriority w:val="0"/>
    <w:pPr>
      <w:ind w:left="840"/>
      <w:jc w:val="left"/>
    </w:pPr>
    <w:rPr>
      <w:rFonts w:ascii="Calibri" w:hAnsi="Calibri"/>
      <w:sz w:val="18"/>
      <w:szCs w:val="18"/>
    </w:rPr>
  </w:style>
  <w:style w:type="paragraph" w:styleId="9">
    <w:name w:val="Body Text Indent"/>
    <w:basedOn w:val="1"/>
    <w:next w:val="10"/>
    <w:qFormat/>
    <w:uiPriority w:val="0"/>
    <w:pPr>
      <w:ind w:firstLine="830" w:firstLineChars="352"/>
    </w:pPr>
    <w:rPr>
      <w:rFonts w:ascii="仿宋_GB2312" w:eastAsia="仿宋_GB2312"/>
      <w:sz w:val="32"/>
      <w:szCs w:val="20"/>
    </w:rPr>
  </w:style>
  <w:style w:type="paragraph" w:styleId="10">
    <w:name w:val="envelope return"/>
    <w:basedOn w:val="1"/>
    <w:qFormat/>
    <w:uiPriority w:val="99"/>
    <w:pPr>
      <w:snapToGrid w:val="0"/>
    </w:pPr>
    <w:rPr>
      <w:rFonts w:ascii="Arial" w:hAnsi="Arial"/>
    </w:rPr>
  </w:style>
  <w:style w:type="paragraph" w:styleId="11">
    <w:name w:val="Plain Text"/>
    <w:basedOn w:val="1"/>
    <w:qFormat/>
    <w:uiPriority w:val="0"/>
    <w:rPr>
      <w:rFonts w:ascii="宋体" w:hAnsi="Courier New" w:cs="Courier New"/>
      <w:szCs w:val="21"/>
    </w:rPr>
  </w:style>
  <w:style w:type="paragraph" w:styleId="12">
    <w:name w:val="Body Text Indent 2"/>
    <w:basedOn w:val="1"/>
    <w:link w:val="33"/>
    <w:qFormat/>
    <w:uiPriority w:val="0"/>
    <w:pPr>
      <w:spacing w:after="120" w:line="480" w:lineRule="auto"/>
      <w:ind w:left="420" w:leftChars="200"/>
    </w:pPr>
    <w:rPr>
      <w:szCs w:val="20"/>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39"/>
    <w:pPr>
      <w:tabs>
        <w:tab w:val="right" w:leader="dot" w:pos="9540"/>
      </w:tabs>
      <w:spacing w:line="360" w:lineRule="auto"/>
      <w:ind w:right="430" w:rightChars="205"/>
    </w:pPr>
    <w:rPr>
      <w:rFonts w:ascii="宋体" w:hAnsi="宋体"/>
      <w:b/>
      <w:kern w:val="0"/>
      <w:sz w:val="28"/>
      <w:szCs w:val="28"/>
    </w:rPr>
  </w:style>
  <w:style w:type="paragraph" w:styleId="16">
    <w:name w:val="Subtitle"/>
    <w:basedOn w:val="1"/>
    <w:next w:val="1"/>
    <w:qFormat/>
    <w:uiPriority w:val="0"/>
    <w:pPr>
      <w:adjustRightInd w:val="0"/>
      <w:spacing w:before="760" w:beforeLines="0" w:after="280" w:afterLines="0"/>
      <w:jc w:val="left"/>
      <w:textAlignment w:val="baseline"/>
    </w:pPr>
    <w:rPr>
      <w:rFonts w:ascii="Arial" w:hAnsi="Arial" w:eastAsia="黑体"/>
      <w:spacing w:val="40"/>
      <w:kern w:val="0"/>
      <w:sz w:val="30"/>
      <w:szCs w:val="20"/>
      <w:u w:val="single"/>
    </w:rPr>
  </w:style>
  <w:style w:type="paragraph" w:styleId="17">
    <w:name w:val="Body Text Indent 3"/>
    <w:basedOn w:val="1"/>
    <w:qFormat/>
    <w:uiPriority w:val="0"/>
    <w:pPr>
      <w:spacing w:after="120"/>
      <w:ind w:left="420"/>
    </w:pPr>
    <w:rPr>
      <w:sz w:val="16"/>
      <w:szCs w:val="16"/>
    </w:rPr>
  </w:style>
  <w:style w:type="paragraph" w:styleId="18">
    <w:name w:val="Normal (Web)"/>
    <w:basedOn w:val="1"/>
    <w:qFormat/>
    <w:uiPriority w:val="99"/>
    <w:pPr>
      <w:widowControl/>
      <w:spacing w:before="100" w:beforeLines="0" w:beforeAutospacing="1" w:after="100" w:afterLines="0" w:afterAutospacing="1"/>
      <w:jc w:val="left"/>
    </w:pPr>
    <w:rPr>
      <w:rFonts w:ascii="宋体" w:hAnsi="宋体"/>
      <w:color w:val="000000"/>
      <w:kern w:val="0"/>
      <w:sz w:val="24"/>
    </w:rPr>
  </w:style>
  <w:style w:type="paragraph" w:styleId="19">
    <w:name w:val="Body Text First Indent"/>
    <w:basedOn w:val="7"/>
    <w:qFormat/>
    <w:uiPriority w:val="0"/>
    <w:pPr>
      <w:spacing w:after="120" w:afterLines="0" w:line="240" w:lineRule="auto"/>
      <w:ind w:firstLine="420" w:firstLineChars="100"/>
    </w:pPr>
    <w:rPr>
      <w:szCs w:val="24"/>
    </w:rPr>
  </w:style>
  <w:style w:type="paragraph" w:styleId="20">
    <w:name w:val="Body Text First Indent 2"/>
    <w:basedOn w:val="9"/>
    <w:qFormat/>
    <w:uiPriority w:val="0"/>
    <w:pPr>
      <w:spacing w:after="120"/>
      <w:ind w:left="420" w:leftChars="200"/>
    </w:pPr>
    <w:rPr>
      <w:rFonts w:ascii="Calibri"/>
      <w:sz w:val="21"/>
    </w:rPr>
  </w:style>
  <w:style w:type="table" w:styleId="22">
    <w:name w:val="Table Grid"/>
    <w:basedOn w:val="2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4">
    <w:name w:val="Strong"/>
    <w:basedOn w:val="23"/>
    <w:qFormat/>
    <w:uiPriority w:val="0"/>
    <w:rPr>
      <w:rFonts w:ascii="Tahoma" w:hAnsi="Tahoma" w:eastAsia="宋体"/>
      <w:b/>
      <w:bCs/>
      <w:spacing w:val="10"/>
      <w:sz w:val="24"/>
      <w:lang w:val="en-US" w:eastAsia="zh-CN" w:bidi="ar-SA"/>
    </w:rPr>
  </w:style>
  <w:style w:type="character" w:styleId="25">
    <w:name w:val="Hyperlink"/>
    <w:basedOn w:val="23"/>
    <w:qFormat/>
    <w:uiPriority w:val="99"/>
    <w:rPr>
      <w:color w:val="0000FF"/>
      <w:u w:val="single"/>
    </w:rPr>
  </w:style>
  <w:style w:type="character" w:styleId="26">
    <w:name w:val="annotation reference"/>
    <w:basedOn w:val="23"/>
    <w:qFormat/>
    <w:uiPriority w:val="0"/>
    <w:rPr>
      <w:sz w:val="21"/>
      <w:szCs w:val="21"/>
    </w:rPr>
  </w:style>
  <w:style w:type="paragraph" w:styleId="27">
    <w:name w:val="List Paragraph"/>
    <w:basedOn w:val="1"/>
    <w:qFormat/>
    <w:uiPriority w:val="34"/>
    <w:pPr>
      <w:ind w:firstLine="420" w:firstLineChars="200"/>
    </w:pPr>
    <w:rPr>
      <w:rFonts w:ascii="Calibri" w:hAnsi="Calibri"/>
      <w:szCs w:val="22"/>
    </w:rPr>
  </w:style>
  <w:style w:type="paragraph" w:customStyle="1" w:styleId="28">
    <w:name w:val="WPSOffice手动目录 1"/>
    <w:qFormat/>
    <w:uiPriority w:val="0"/>
    <w:pPr>
      <w:ind w:leftChars="0"/>
    </w:pPr>
    <w:rPr>
      <w:rFonts w:asciiTheme="minorHAnsi" w:hAnsiTheme="minorHAnsi" w:eastAsiaTheme="minorEastAsia" w:cstheme="minorBidi"/>
      <w:sz w:val="20"/>
      <w:szCs w:val="20"/>
    </w:rPr>
  </w:style>
  <w:style w:type="character" w:customStyle="1" w:styleId="29">
    <w:name w:val="NormalCharacter"/>
    <w:qFormat/>
    <w:uiPriority w:val="0"/>
  </w:style>
  <w:style w:type="paragraph" w:customStyle="1" w:styleId="30">
    <w:name w:val="列出段落1"/>
    <w:basedOn w:val="1"/>
    <w:qFormat/>
    <w:uiPriority w:val="99"/>
    <w:pPr>
      <w:ind w:firstLine="420" w:firstLineChars="200"/>
    </w:pPr>
    <w:rPr>
      <w:rFonts w:ascii="Calibri" w:hAnsi="Calibri"/>
    </w:rPr>
  </w:style>
  <w:style w:type="paragraph" w:customStyle="1" w:styleId="31">
    <w:name w:val="null3"/>
    <w:qFormat/>
    <w:uiPriority w:val="0"/>
    <w:rPr>
      <w:rFonts w:hint="eastAsia" w:ascii="Calibri" w:hAnsi="Calibri" w:eastAsia="宋体" w:cs="Times New Roman"/>
      <w:lang w:val="en-US" w:eastAsia="zh-Hans"/>
    </w:rPr>
  </w:style>
  <w:style w:type="paragraph" w:customStyle="1" w:styleId="32">
    <w:name w:val="Body text|1"/>
    <w:basedOn w:val="1"/>
    <w:qFormat/>
    <w:uiPriority w:val="0"/>
    <w:pPr>
      <w:widowControl w:val="0"/>
      <w:shd w:val="clear" w:color="auto" w:fill="auto"/>
      <w:spacing w:line="425" w:lineRule="auto"/>
      <w:ind w:firstLine="380"/>
    </w:pPr>
    <w:rPr>
      <w:rFonts w:ascii="黑体" w:hAnsi="黑体" w:eastAsia="黑体" w:cs="黑体"/>
      <w:sz w:val="17"/>
      <w:szCs w:val="17"/>
      <w:u w:val="none"/>
      <w:shd w:val="clear" w:color="auto" w:fill="auto"/>
    </w:rPr>
  </w:style>
  <w:style w:type="character" w:customStyle="1" w:styleId="33">
    <w:name w:val="正文文本缩进 2 Char"/>
    <w:link w:val="12"/>
    <w:autoRedefine/>
    <w:qFormat/>
    <w:uiPriority w:val="0"/>
    <w:rPr>
      <w:szCs w:val="20"/>
    </w:rPr>
  </w:style>
  <w:style w:type="paragraph" w:customStyle="1" w:styleId="34">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5">
    <w:name w:val="图"/>
    <w:basedOn w:val="1"/>
    <w:qFormat/>
    <w:uiPriority w:val="0"/>
    <w:pPr>
      <w:keepNext/>
      <w:autoSpaceDE/>
      <w:autoSpaceDN/>
      <w:spacing w:before="60" w:after="60" w:line="300" w:lineRule="auto"/>
      <w:jc w:val="center"/>
      <w:textAlignment w:val="center"/>
    </w:pPr>
    <w:rPr>
      <w:snapToGrid w:val="0"/>
      <w:spacing w:val="20"/>
      <w:sz w:val="24"/>
    </w:rPr>
  </w:style>
  <w:style w:type="character" w:customStyle="1" w:styleId="36">
    <w:name w:val="font11"/>
    <w:basedOn w:val="23"/>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3e60ae3-7a8d-4af9-b237-b2ec2688e4c8}"/>
        <w:style w:val=""/>
        <w:category>
          <w:name w:val="常规"/>
          <w:gallery w:val="placeholder"/>
        </w:category>
        <w:types>
          <w:type w:val="bbPlcHdr"/>
        </w:types>
        <w:behaviors>
          <w:behavior w:val="content"/>
        </w:behaviors>
        <w:description w:val=""/>
        <w:guid w:val="{23e60ae3-7a8d-4af9-b237-b2ec2688e4c8}"/>
      </w:docPartPr>
      <w:docPartBody>
        <w:p w14:paraId="19AF9129">
          <w:r>
            <w:rPr>
              <w:color w:val="808080"/>
            </w:rPr>
            <w:t>单击此处输入文字。</w:t>
          </w:r>
        </w:p>
      </w:docPartBody>
    </w:docPart>
    <w:docPart>
      <w:docPartPr>
        <w:name w:val="{fb6986d5-d4c7-4efd-b5f1-7fa913a231d0}"/>
        <w:style w:val=""/>
        <w:category>
          <w:name w:val="常规"/>
          <w:gallery w:val="placeholder"/>
        </w:category>
        <w:types>
          <w:type w:val="bbPlcHdr"/>
        </w:types>
        <w:behaviors>
          <w:behavior w:val="content"/>
        </w:behaviors>
        <w:description w:val=""/>
        <w:guid w:val="{fb6986d5-d4c7-4efd-b5f1-7fa913a231d0}"/>
      </w:docPartPr>
      <w:docPartBody>
        <w:p w14:paraId="79F208C0">
          <w:r>
            <w:rPr>
              <w:color w:val="808080"/>
            </w:rPr>
            <w:t>单击此处输入文字。</w:t>
          </w:r>
        </w:p>
      </w:docPartBody>
    </w:docPart>
    <w:docPart>
      <w:docPartPr>
        <w:name w:val="{90f722e0-8df3-41a8-a0cb-fc645b1ad85b}"/>
        <w:style w:val=""/>
        <w:category>
          <w:name w:val="常规"/>
          <w:gallery w:val="placeholder"/>
        </w:category>
        <w:types>
          <w:type w:val="bbPlcHdr"/>
        </w:types>
        <w:behaviors>
          <w:behavior w:val="content"/>
        </w:behaviors>
        <w:description w:val=""/>
        <w:guid w:val="{90f722e0-8df3-41a8-a0cb-fc645b1ad85b}"/>
      </w:docPartPr>
      <w:docPartBody>
        <w:p w14:paraId="2E372C55">
          <w:r>
            <w:rPr>
              <w:color w:val="808080"/>
            </w:rPr>
            <w:t>单击此处输入文字。</w:t>
          </w:r>
        </w:p>
      </w:docPartBody>
    </w:docPart>
    <w:docPart>
      <w:docPartPr>
        <w:name w:val="{374c8499-bb23-40ff-a681-38061e3be905}"/>
        <w:style w:val=""/>
        <w:category>
          <w:name w:val="常规"/>
          <w:gallery w:val="placeholder"/>
        </w:category>
        <w:types>
          <w:type w:val="bbPlcHdr"/>
        </w:types>
        <w:behaviors>
          <w:behavior w:val="content"/>
        </w:behaviors>
        <w:description w:val=""/>
        <w:guid w:val="{374c8499-bb23-40ff-a681-38061e3be905}"/>
      </w:docPartPr>
      <w:docPartBody>
        <w:p w14:paraId="663ED339">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18849</Words>
  <Characters>19390</Characters>
  <Lines>0</Lines>
  <Paragraphs>0</Paragraphs>
  <TotalTime>9</TotalTime>
  <ScaleCrop>false</ScaleCrop>
  <LinksUpToDate>false</LinksUpToDate>
  <CharactersWithSpaces>19654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2021-11-11T07:47:00Z</dcterms:created>
  <dc:creator>Administrator</dc:creator>
  <cp:lastModifiedBy>Rebecca</cp:lastModifiedBy>
  <cp:lastPrinted>2021-11-22T10:50:00Z</cp:lastPrinted>
  <dcterms:modified xsi:type="dcterms:W3CDTF">2025-06-27T07:17:29Z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CFCEFDF45B7349B68C199B7E739FFA11</vt:lpwstr>
  </property>
  <property fmtid="{D5CDD505-2E9C-101B-9397-08002B2CF9AE}" pid="4" name="KSOTemplateDocerSaveRecord">
    <vt:lpwstr>eyJoZGlkIjoiOGNhN2FjMTIzOWMwMmUyMDUxYTM5YTAwMTlhYjYyYWQiLCJ1c2VySWQiOiIzNjIxMDYyNzYifQ==</vt:lpwstr>
  </property>
</Properties>
</file>