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ED992">
      <w:pPr>
        <w:spacing w:line="440" w:lineRule="exact"/>
        <w:jc w:val="center"/>
        <w:rPr>
          <w:b/>
          <w:bCs/>
          <w:color w:val="auto"/>
          <w:sz w:val="44"/>
          <w:szCs w:val="44"/>
        </w:rPr>
      </w:pPr>
      <w:r>
        <w:rPr>
          <w:rFonts w:hint="eastAsia"/>
          <w:b/>
          <w:bCs/>
          <w:color w:val="auto"/>
          <w:sz w:val="44"/>
          <w:szCs w:val="44"/>
        </w:rPr>
        <w:t>报价单</w:t>
      </w:r>
    </w:p>
    <w:p w14:paraId="6D9ED34B">
      <w:pPr>
        <w:spacing w:line="440" w:lineRule="exact"/>
        <w:jc w:val="center"/>
        <w:rPr>
          <w:color w:val="auto"/>
          <w:sz w:val="24"/>
          <w:szCs w:val="24"/>
        </w:rPr>
      </w:pPr>
    </w:p>
    <w:p w14:paraId="06752786">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致中山市小榄人民医院：</w:t>
      </w:r>
    </w:p>
    <w:tbl>
      <w:tblPr>
        <w:tblStyle w:val="11"/>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6768"/>
      </w:tblGrid>
      <w:tr w14:paraId="1FCF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2F3107D7">
            <w:pPr>
              <w:spacing w:line="360" w:lineRule="auto"/>
              <w:jc w:val="center"/>
              <w:rPr>
                <w:rFonts w:hint="eastAsia" w:ascii="仿宋" w:hAnsi="仿宋" w:eastAsia="仿宋" w:cs="仿宋"/>
                <w:color w:val="auto"/>
                <w:sz w:val="24"/>
                <w:szCs w:val="24"/>
                <w:lang w:val="en-US" w:eastAsia="zh-CN"/>
              </w:rPr>
            </w:pPr>
          </w:p>
          <w:p w14:paraId="51AD78B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名称</w:t>
            </w:r>
          </w:p>
        </w:tc>
        <w:tc>
          <w:tcPr>
            <w:tcW w:w="6768" w:type="dxa"/>
            <w:vAlign w:val="top"/>
          </w:tcPr>
          <w:p w14:paraId="727628BE">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中山市小榄人民医院</w:t>
            </w:r>
          </w:p>
          <w:p w14:paraId="496469D3">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zh-CN"/>
              </w:rPr>
              <w:t xml:space="preserve">GE </w:t>
            </w:r>
            <w:r>
              <w:rPr>
                <w:rFonts w:hint="eastAsia" w:ascii="仿宋" w:hAnsi="仿宋" w:eastAsia="仿宋" w:cs="仿宋"/>
                <w:color w:val="FF0000"/>
                <w:sz w:val="24"/>
                <w:szCs w:val="24"/>
                <w:highlight w:val="none"/>
                <w:lang w:val="zh-CN"/>
              </w:rPr>
              <w:t>Optima CT680 Expert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64排螺旋CT</w:t>
            </w:r>
            <w:r>
              <w:rPr>
                <w:rFonts w:hint="eastAsia" w:ascii="仿宋" w:hAnsi="仿宋" w:eastAsia="仿宋" w:cs="仿宋"/>
                <w:color w:val="auto"/>
                <w:sz w:val="24"/>
                <w:szCs w:val="24"/>
                <w:highlight w:val="none"/>
              </w:rPr>
              <w:t>整机全保</w:t>
            </w:r>
          </w:p>
        </w:tc>
      </w:tr>
      <w:tr w14:paraId="219B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351" w:type="dxa"/>
            <w:vAlign w:val="top"/>
          </w:tcPr>
          <w:p w14:paraId="261E6704">
            <w:pPr>
              <w:spacing w:line="360" w:lineRule="auto"/>
              <w:jc w:val="center"/>
              <w:rPr>
                <w:rFonts w:hint="eastAsia" w:ascii="仿宋" w:hAnsi="仿宋" w:eastAsia="仿宋" w:cs="仿宋"/>
                <w:color w:val="auto"/>
                <w:sz w:val="24"/>
                <w:szCs w:val="24"/>
                <w:lang w:val="en-US" w:eastAsia="zh-CN"/>
              </w:rPr>
            </w:pPr>
          </w:p>
          <w:p w14:paraId="69641F29">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投标公司性质</w:t>
            </w:r>
          </w:p>
        </w:tc>
        <w:tc>
          <w:tcPr>
            <w:tcW w:w="6768" w:type="dxa"/>
            <w:vAlign w:val="top"/>
          </w:tcPr>
          <w:p w14:paraId="6FC6CF28">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大型企业</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 中小企业□ 小微企业□</w:t>
            </w:r>
          </w:p>
          <w:p w14:paraId="4F3BC88B">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（100万以上项目需填写，提供证明文件，进口设备无需填写）</w:t>
            </w:r>
          </w:p>
        </w:tc>
      </w:tr>
      <w:tr w14:paraId="3D26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1C9A30C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投标公司维修站/零件仓库所在地</w:t>
            </w:r>
          </w:p>
        </w:tc>
        <w:tc>
          <w:tcPr>
            <w:tcW w:w="6768" w:type="dxa"/>
            <w:vAlign w:val="top"/>
          </w:tcPr>
          <w:p w14:paraId="6BE921C3">
            <w:pPr>
              <w:spacing w:line="360" w:lineRule="auto"/>
              <w:jc w:val="left"/>
              <w:rPr>
                <w:rFonts w:hint="eastAsia" w:ascii="仿宋" w:hAnsi="仿宋" w:eastAsia="仿宋" w:cs="仿宋"/>
                <w:color w:val="auto"/>
                <w:sz w:val="24"/>
                <w:szCs w:val="24"/>
              </w:rPr>
            </w:pPr>
          </w:p>
        </w:tc>
      </w:tr>
      <w:tr w14:paraId="30E2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51" w:type="dxa"/>
            <w:vAlign w:val="top"/>
          </w:tcPr>
          <w:p w14:paraId="6790194D">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维保时间（年）</w:t>
            </w:r>
          </w:p>
        </w:tc>
        <w:tc>
          <w:tcPr>
            <w:tcW w:w="6768" w:type="dxa"/>
            <w:vAlign w:val="top"/>
          </w:tcPr>
          <w:p w14:paraId="6270FD9A">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3年</w:t>
            </w:r>
          </w:p>
        </w:tc>
      </w:tr>
      <w:tr w14:paraId="7A1C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51" w:type="dxa"/>
            <w:vAlign w:val="top"/>
          </w:tcPr>
          <w:p w14:paraId="3F68925E">
            <w:pPr>
              <w:spacing w:line="360" w:lineRule="auto"/>
              <w:jc w:val="center"/>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lang w:val="en-US" w:eastAsia="zh-CN"/>
              </w:rPr>
              <w:t>1、含球管的维保报价</w:t>
            </w:r>
            <w:r>
              <w:rPr>
                <w:rFonts w:hint="eastAsia" w:ascii="仿宋" w:hAnsi="仿宋" w:eastAsia="仿宋" w:cs="仿宋"/>
                <w:color w:val="auto"/>
                <w:sz w:val="24"/>
                <w:szCs w:val="24"/>
                <w:highlight w:val="yellow"/>
              </w:rPr>
              <w:t>（元）</w:t>
            </w:r>
          </w:p>
        </w:tc>
        <w:tc>
          <w:tcPr>
            <w:tcW w:w="6768" w:type="dxa"/>
            <w:vAlign w:val="top"/>
          </w:tcPr>
          <w:p w14:paraId="0162729C">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tc>
      </w:tr>
      <w:tr w14:paraId="2AA9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141EEB35">
            <w:pPr>
              <w:spacing w:line="360" w:lineRule="auto"/>
              <w:jc w:val="center"/>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lang w:val="en-US" w:eastAsia="zh-CN"/>
              </w:rPr>
              <w:t>2不含球管的维保报价</w:t>
            </w:r>
            <w:r>
              <w:rPr>
                <w:rFonts w:hint="eastAsia" w:ascii="仿宋" w:hAnsi="仿宋" w:eastAsia="仿宋" w:cs="仿宋"/>
                <w:color w:val="auto"/>
                <w:sz w:val="24"/>
                <w:szCs w:val="24"/>
                <w:highlight w:val="yellow"/>
              </w:rPr>
              <w:t>（元）</w:t>
            </w:r>
          </w:p>
        </w:tc>
        <w:tc>
          <w:tcPr>
            <w:tcW w:w="6768" w:type="dxa"/>
            <w:vAlign w:val="top"/>
          </w:tcPr>
          <w:p w14:paraId="333B5708">
            <w:pPr>
              <w:spacing w:line="360" w:lineRule="auto"/>
              <w:jc w:val="left"/>
              <w:rPr>
                <w:rFonts w:hint="eastAsia" w:ascii="仿宋" w:hAnsi="仿宋" w:eastAsia="仿宋" w:cs="仿宋"/>
                <w:color w:val="auto"/>
                <w:sz w:val="24"/>
                <w:szCs w:val="24"/>
              </w:rPr>
            </w:pPr>
          </w:p>
        </w:tc>
      </w:tr>
      <w:tr w14:paraId="735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64A2497A">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yellow"/>
                <w:lang w:val="en-US" w:eastAsia="zh-CN"/>
              </w:rPr>
              <w:t>3.球管单独报价（元）</w:t>
            </w:r>
          </w:p>
        </w:tc>
        <w:tc>
          <w:tcPr>
            <w:tcW w:w="6768" w:type="dxa"/>
            <w:vAlign w:val="top"/>
          </w:tcPr>
          <w:p w14:paraId="230EC922">
            <w:pPr>
              <w:spacing w:line="360" w:lineRule="auto"/>
              <w:jc w:val="left"/>
              <w:rPr>
                <w:rFonts w:hint="eastAsia" w:ascii="仿宋" w:hAnsi="仿宋" w:eastAsia="仿宋" w:cs="仿宋"/>
                <w:color w:val="auto"/>
                <w:sz w:val="24"/>
                <w:szCs w:val="24"/>
              </w:rPr>
            </w:pPr>
          </w:p>
        </w:tc>
      </w:tr>
      <w:tr w14:paraId="3890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351" w:type="dxa"/>
            <w:vAlign w:val="top"/>
          </w:tcPr>
          <w:p w14:paraId="17A9D70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本项目拟参与工程师人数</w:t>
            </w:r>
          </w:p>
        </w:tc>
        <w:tc>
          <w:tcPr>
            <w:tcW w:w="6768" w:type="dxa"/>
            <w:vAlign w:val="top"/>
          </w:tcPr>
          <w:p w14:paraId="4FF8DB93">
            <w:pPr>
              <w:spacing w:line="360" w:lineRule="auto"/>
              <w:jc w:val="left"/>
              <w:rPr>
                <w:rFonts w:hint="eastAsia" w:ascii="仿宋" w:hAnsi="仿宋" w:eastAsia="仿宋" w:cs="仿宋"/>
                <w:color w:val="auto"/>
                <w:sz w:val="24"/>
                <w:szCs w:val="24"/>
              </w:rPr>
            </w:pPr>
          </w:p>
        </w:tc>
      </w:tr>
    </w:tbl>
    <w:p w14:paraId="1A1BBC88">
      <w:pPr>
        <w:jc w:val="center"/>
        <w:rPr>
          <w:rFonts w:hint="eastAsia"/>
          <w:color w:val="auto"/>
          <w:sz w:val="24"/>
          <w:szCs w:val="24"/>
        </w:rPr>
      </w:pPr>
      <w:r>
        <w:rPr>
          <w:rFonts w:hint="eastAsia"/>
          <w:color w:val="auto"/>
          <w:sz w:val="24"/>
          <w:szCs w:val="24"/>
        </w:rPr>
        <w:t xml:space="preserve">                                                                              </w:t>
      </w:r>
    </w:p>
    <w:p w14:paraId="726128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7AA895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0061AF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099924B9">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报价公司（盖章）：</w:t>
      </w:r>
    </w:p>
    <w:p w14:paraId="20A62B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r>
        <w:rPr>
          <w:rFonts w:hint="eastAsia"/>
          <w:color w:val="auto"/>
          <w:sz w:val="24"/>
          <w:szCs w:val="24"/>
        </w:rPr>
        <w:t>报价联系人：</w:t>
      </w:r>
    </w:p>
    <w:p w14:paraId="6A099F88">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联系方式：</w:t>
      </w:r>
    </w:p>
    <w:p w14:paraId="5AF3B54F">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邮箱：</w:t>
      </w:r>
    </w:p>
    <w:p w14:paraId="48C065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8"/>
          <w:szCs w:val="28"/>
        </w:rPr>
      </w:pPr>
      <w:r>
        <w:rPr>
          <w:rFonts w:hint="eastAsia"/>
          <w:color w:val="auto"/>
          <w:sz w:val="24"/>
          <w:szCs w:val="24"/>
        </w:rPr>
        <w:t>报价时间：</w:t>
      </w:r>
    </w:p>
    <w:p w14:paraId="0EE42829">
      <w:pPr>
        <w:spacing w:line="440" w:lineRule="exact"/>
        <w:rPr>
          <w:rFonts w:hint="eastAsia"/>
          <w:b/>
          <w:bCs/>
          <w:color w:val="auto"/>
          <w:sz w:val="21"/>
          <w:szCs w:val="21"/>
        </w:rPr>
      </w:pPr>
    </w:p>
    <w:p w14:paraId="1D2425A0">
      <w:pPr>
        <w:spacing w:line="440" w:lineRule="exact"/>
        <w:rPr>
          <w:rFonts w:hint="eastAsia"/>
          <w:b/>
          <w:bCs/>
          <w:color w:val="FF0000"/>
          <w:sz w:val="21"/>
          <w:szCs w:val="21"/>
        </w:rPr>
      </w:pPr>
      <w:r>
        <w:rPr>
          <w:rFonts w:hint="eastAsia"/>
          <w:b/>
          <w:bCs/>
          <w:color w:val="FF0000"/>
          <w:sz w:val="21"/>
          <w:szCs w:val="21"/>
        </w:rPr>
        <w:t>报价供应商须同时提供以下资料</w:t>
      </w:r>
      <w:r>
        <w:rPr>
          <w:rFonts w:hint="eastAsia"/>
          <w:b/>
          <w:bCs/>
          <w:color w:val="FF0000"/>
          <w:sz w:val="21"/>
          <w:szCs w:val="21"/>
          <w:lang w:eastAsia="zh-CN"/>
        </w:rPr>
        <w:t>（</w:t>
      </w:r>
      <w:r>
        <w:rPr>
          <w:rFonts w:hint="eastAsia"/>
          <w:b/>
          <w:bCs/>
          <w:color w:val="FF0000"/>
          <w:sz w:val="21"/>
          <w:szCs w:val="21"/>
          <w:lang w:val="en-US" w:eastAsia="zh-CN"/>
        </w:rPr>
        <w:t>均需盖章</w:t>
      </w:r>
      <w:r>
        <w:rPr>
          <w:rFonts w:hint="eastAsia"/>
          <w:b/>
          <w:bCs/>
          <w:color w:val="FF0000"/>
          <w:sz w:val="21"/>
          <w:szCs w:val="21"/>
          <w:lang w:eastAsia="zh-CN"/>
        </w:rPr>
        <w:t>）</w:t>
      </w:r>
      <w:r>
        <w:rPr>
          <w:rFonts w:hint="eastAsia"/>
          <w:b/>
          <w:bCs/>
          <w:color w:val="FF0000"/>
          <w:sz w:val="21"/>
          <w:szCs w:val="21"/>
        </w:rPr>
        <w:t>：</w:t>
      </w:r>
    </w:p>
    <w:p w14:paraId="189F156F">
      <w:pPr>
        <w:numPr>
          <w:ilvl w:val="0"/>
          <w:numId w:val="1"/>
        </w:numPr>
        <w:spacing w:line="440" w:lineRule="exact"/>
        <w:rPr>
          <w:rFonts w:hint="eastAsia"/>
          <w:b/>
          <w:bCs/>
          <w:color w:val="auto"/>
          <w:sz w:val="21"/>
          <w:szCs w:val="21"/>
        </w:rPr>
      </w:pPr>
      <w:r>
        <w:rPr>
          <w:rFonts w:hint="eastAsia"/>
          <w:b/>
          <w:bCs/>
          <w:color w:val="auto"/>
          <w:sz w:val="21"/>
          <w:szCs w:val="21"/>
          <w:lang w:val="en-US" w:eastAsia="zh-CN"/>
        </w:rPr>
        <w:t>报价单</w:t>
      </w:r>
    </w:p>
    <w:p w14:paraId="491E57C1">
      <w:pPr>
        <w:numPr>
          <w:ilvl w:val="0"/>
          <w:numId w:val="1"/>
        </w:numPr>
        <w:spacing w:line="440" w:lineRule="exact"/>
        <w:rPr>
          <w:rFonts w:hint="eastAsia"/>
          <w:b/>
          <w:bCs/>
          <w:color w:val="auto"/>
          <w:sz w:val="21"/>
          <w:szCs w:val="21"/>
        </w:rPr>
      </w:pPr>
      <w:r>
        <w:rPr>
          <w:rFonts w:hint="eastAsia"/>
          <w:b/>
          <w:bCs/>
          <w:color w:val="auto"/>
          <w:sz w:val="21"/>
          <w:szCs w:val="21"/>
        </w:rPr>
        <w:t>参数偏离情况表</w:t>
      </w:r>
    </w:p>
    <w:p w14:paraId="1B292B3E">
      <w:pPr>
        <w:numPr>
          <w:ilvl w:val="0"/>
          <w:numId w:val="1"/>
        </w:numPr>
        <w:spacing w:line="440" w:lineRule="exact"/>
        <w:rPr>
          <w:rFonts w:hint="eastAsia"/>
          <w:b/>
          <w:bCs/>
          <w:color w:val="auto"/>
          <w:sz w:val="24"/>
        </w:rPr>
      </w:pPr>
      <w:r>
        <w:rPr>
          <w:rFonts w:hint="eastAsia"/>
          <w:b/>
          <w:bCs/>
          <w:color w:val="auto"/>
          <w:sz w:val="24"/>
          <w:lang w:val="en-US" w:eastAsia="zh-CN"/>
        </w:rPr>
        <w:t>2022年1月1日至今的医院名单列表及部分合同、维保时间、成交金额（针对CT设备维保项目）</w:t>
      </w:r>
    </w:p>
    <w:p w14:paraId="06662167">
      <w:pPr>
        <w:numPr>
          <w:ilvl w:val="0"/>
          <w:numId w:val="1"/>
        </w:numPr>
        <w:spacing w:line="440" w:lineRule="exact"/>
        <w:rPr>
          <w:rFonts w:hint="eastAsia"/>
          <w:b/>
          <w:bCs/>
          <w:color w:val="auto"/>
          <w:sz w:val="24"/>
        </w:rPr>
      </w:pPr>
      <w:r>
        <w:rPr>
          <w:rFonts w:hint="eastAsia"/>
          <w:b/>
          <w:bCs/>
          <w:color w:val="auto"/>
          <w:sz w:val="21"/>
          <w:szCs w:val="21"/>
          <w:lang w:val="en-US" w:eastAsia="zh-CN"/>
        </w:rPr>
        <w:t>拟参与本项目的工程师名单及人员资质</w:t>
      </w:r>
    </w:p>
    <w:p w14:paraId="4BC9FE65">
      <w:pPr>
        <w:numPr>
          <w:ilvl w:val="0"/>
          <w:numId w:val="1"/>
        </w:numPr>
        <w:spacing w:line="440" w:lineRule="exact"/>
        <w:rPr>
          <w:rFonts w:hint="eastAsia"/>
          <w:b/>
          <w:bCs/>
          <w:color w:val="auto"/>
          <w:sz w:val="24"/>
        </w:rPr>
      </w:pPr>
      <w:r>
        <w:rPr>
          <w:rFonts w:hint="eastAsia"/>
          <w:b/>
          <w:bCs/>
          <w:color w:val="auto"/>
          <w:sz w:val="21"/>
          <w:szCs w:val="21"/>
        </w:rPr>
        <w:t>供应商</w:t>
      </w:r>
      <w:r>
        <w:rPr>
          <w:rFonts w:hint="eastAsia"/>
          <w:b/>
          <w:bCs/>
          <w:color w:val="auto"/>
          <w:sz w:val="21"/>
          <w:szCs w:val="21"/>
          <w:lang w:val="en-US" w:eastAsia="zh-CN"/>
        </w:rPr>
        <w:t>及厂家</w:t>
      </w:r>
      <w:r>
        <w:rPr>
          <w:rFonts w:hint="eastAsia"/>
          <w:b/>
          <w:bCs/>
          <w:color w:val="auto"/>
          <w:sz w:val="21"/>
          <w:szCs w:val="21"/>
        </w:rPr>
        <w:t>证件</w:t>
      </w:r>
      <w:r>
        <w:rPr>
          <w:rFonts w:hint="eastAsia"/>
          <w:b/>
          <w:bCs/>
          <w:color w:val="auto"/>
          <w:sz w:val="21"/>
          <w:szCs w:val="21"/>
          <w:lang w:eastAsia="zh-CN"/>
        </w:rPr>
        <w:t>（</w:t>
      </w:r>
      <w:r>
        <w:rPr>
          <w:rFonts w:hint="eastAsia"/>
          <w:b/>
          <w:bCs/>
          <w:color w:val="auto"/>
          <w:sz w:val="21"/>
          <w:szCs w:val="21"/>
          <w:lang w:val="en-US" w:eastAsia="zh-CN"/>
        </w:rPr>
        <w:t>营业执照、医疗器械经营许可证/备案凭证、生产许可证、授权书等</w:t>
      </w:r>
      <w:r>
        <w:rPr>
          <w:rFonts w:hint="eastAsia"/>
          <w:b/>
          <w:bCs/>
          <w:color w:val="auto"/>
          <w:sz w:val="21"/>
          <w:szCs w:val="21"/>
          <w:lang w:eastAsia="zh-CN"/>
        </w:rPr>
        <w:t>）</w:t>
      </w:r>
    </w:p>
    <w:p w14:paraId="05ED4493">
      <w:pPr>
        <w:numPr>
          <w:ilvl w:val="0"/>
          <w:numId w:val="0"/>
        </w:numPr>
        <w:spacing w:line="440" w:lineRule="exact"/>
        <w:rPr>
          <w:rFonts w:hint="eastAsia"/>
          <w:b/>
          <w:bCs/>
          <w:color w:val="auto"/>
          <w:sz w:val="24"/>
        </w:rPr>
      </w:pPr>
    </w:p>
    <w:p w14:paraId="00781A34">
      <w:pPr>
        <w:pStyle w:val="3"/>
        <w:rPr>
          <w:rFonts w:hint="eastAsia"/>
          <w:b/>
          <w:bCs/>
          <w:color w:val="auto"/>
          <w:sz w:val="24"/>
        </w:rPr>
      </w:pPr>
    </w:p>
    <w:p w14:paraId="1B6C2CD2">
      <w:pPr>
        <w:pStyle w:val="3"/>
        <w:rPr>
          <w:rFonts w:hint="eastAsia"/>
          <w:b/>
          <w:bCs/>
          <w:color w:val="auto"/>
          <w:sz w:val="24"/>
        </w:rPr>
      </w:pPr>
    </w:p>
    <w:p w14:paraId="38C0E0AF">
      <w:pPr>
        <w:pStyle w:val="3"/>
        <w:rPr>
          <w:rFonts w:hint="eastAsia"/>
          <w:b/>
          <w:bCs/>
          <w:color w:val="auto"/>
          <w:sz w:val="24"/>
        </w:rPr>
      </w:pPr>
    </w:p>
    <w:p w14:paraId="0FB75C1A">
      <w:pPr>
        <w:pStyle w:val="3"/>
        <w:rPr>
          <w:rFonts w:hint="eastAsia"/>
          <w:b/>
          <w:bCs/>
          <w:color w:val="auto"/>
          <w:sz w:val="24"/>
        </w:rPr>
      </w:pPr>
    </w:p>
    <w:p w14:paraId="03CAF715">
      <w:pPr>
        <w:pStyle w:val="3"/>
        <w:rPr>
          <w:rFonts w:hint="eastAsia"/>
          <w:b/>
          <w:bCs/>
          <w:color w:val="auto"/>
          <w:sz w:val="24"/>
        </w:rPr>
      </w:pPr>
    </w:p>
    <w:p w14:paraId="7B207BEC">
      <w:pPr>
        <w:pStyle w:val="3"/>
        <w:rPr>
          <w:rFonts w:hint="eastAsia"/>
          <w:b/>
          <w:bCs/>
          <w:color w:val="auto"/>
          <w:sz w:val="24"/>
        </w:rPr>
      </w:pPr>
    </w:p>
    <w:p w14:paraId="1C8919BC">
      <w:pPr>
        <w:pStyle w:val="3"/>
        <w:rPr>
          <w:rFonts w:hint="eastAsia"/>
          <w:b/>
          <w:bCs/>
          <w:color w:val="auto"/>
          <w:sz w:val="24"/>
        </w:rPr>
      </w:pPr>
    </w:p>
    <w:p w14:paraId="22CA5D7E">
      <w:pPr>
        <w:pStyle w:val="3"/>
        <w:rPr>
          <w:rFonts w:hint="eastAsia"/>
          <w:b/>
          <w:bCs/>
          <w:color w:val="auto"/>
          <w:sz w:val="24"/>
        </w:rPr>
      </w:pPr>
    </w:p>
    <w:p w14:paraId="58770B2A">
      <w:pPr>
        <w:pStyle w:val="3"/>
        <w:rPr>
          <w:rFonts w:hint="eastAsia"/>
          <w:b/>
          <w:bCs/>
          <w:color w:val="auto"/>
          <w:sz w:val="24"/>
        </w:rPr>
      </w:pPr>
    </w:p>
    <w:p w14:paraId="4F0BB0F0">
      <w:pPr>
        <w:pStyle w:val="3"/>
        <w:rPr>
          <w:rFonts w:hint="eastAsia"/>
          <w:b/>
          <w:bCs/>
          <w:color w:val="auto"/>
          <w:sz w:val="24"/>
        </w:rPr>
      </w:pPr>
    </w:p>
    <w:p w14:paraId="24FB39C9">
      <w:pPr>
        <w:pStyle w:val="3"/>
        <w:rPr>
          <w:rFonts w:hint="eastAsia"/>
          <w:b/>
          <w:bCs/>
          <w:color w:val="auto"/>
          <w:sz w:val="24"/>
        </w:rPr>
      </w:pPr>
    </w:p>
    <w:p w14:paraId="6123414D">
      <w:pPr>
        <w:pStyle w:val="3"/>
        <w:rPr>
          <w:rFonts w:hint="eastAsia"/>
          <w:b/>
          <w:bCs/>
          <w:color w:val="auto"/>
          <w:sz w:val="24"/>
        </w:rPr>
      </w:pPr>
    </w:p>
    <w:p w14:paraId="4275717A">
      <w:pPr>
        <w:pStyle w:val="3"/>
        <w:rPr>
          <w:rFonts w:hint="eastAsia"/>
          <w:b/>
          <w:bCs/>
          <w:color w:val="auto"/>
          <w:sz w:val="24"/>
        </w:rPr>
      </w:pPr>
    </w:p>
    <w:p w14:paraId="71063286">
      <w:pPr>
        <w:pStyle w:val="3"/>
        <w:rPr>
          <w:rFonts w:hint="eastAsia"/>
          <w:b/>
          <w:bCs/>
          <w:color w:val="auto"/>
          <w:sz w:val="24"/>
        </w:rPr>
      </w:pPr>
    </w:p>
    <w:p w14:paraId="71A122AD">
      <w:pPr>
        <w:pStyle w:val="3"/>
        <w:rPr>
          <w:rFonts w:hint="eastAsia"/>
          <w:b/>
          <w:bCs/>
          <w:color w:val="auto"/>
          <w:sz w:val="24"/>
        </w:rPr>
      </w:pPr>
    </w:p>
    <w:p w14:paraId="6A2E460C">
      <w:pPr>
        <w:pStyle w:val="3"/>
        <w:rPr>
          <w:rFonts w:hint="eastAsia"/>
          <w:b/>
          <w:bCs/>
          <w:color w:val="auto"/>
          <w:sz w:val="24"/>
        </w:rPr>
      </w:pPr>
    </w:p>
    <w:p w14:paraId="7DF3C6D9">
      <w:pPr>
        <w:pStyle w:val="3"/>
        <w:rPr>
          <w:rFonts w:hint="eastAsia"/>
          <w:b/>
          <w:bCs/>
          <w:color w:val="auto"/>
          <w:sz w:val="24"/>
        </w:rPr>
      </w:pPr>
    </w:p>
    <w:p w14:paraId="09BD8B2E">
      <w:pPr>
        <w:pStyle w:val="3"/>
        <w:rPr>
          <w:rFonts w:hint="eastAsia"/>
          <w:b/>
          <w:bCs/>
          <w:color w:val="auto"/>
          <w:sz w:val="24"/>
        </w:rPr>
      </w:pPr>
    </w:p>
    <w:p w14:paraId="642F30F4">
      <w:pPr>
        <w:pStyle w:val="3"/>
        <w:rPr>
          <w:rFonts w:hint="eastAsia"/>
          <w:b/>
          <w:bCs/>
          <w:color w:val="auto"/>
          <w:sz w:val="24"/>
        </w:rPr>
      </w:pPr>
    </w:p>
    <w:p w14:paraId="0E2AF416">
      <w:pPr>
        <w:pStyle w:val="3"/>
        <w:rPr>
          <w:rFonts w:hint="eastAsia"/>
          <w:b/>
          <w:bCs/>
          <w:color w:val="auto"/>
          <w:sz w:val="24"/>
        </w:rPr>
      </w:pPr>
    </w:p>
    <w:p w14:paraId="5CAD334B">
      <w:pPr>
        <w:spacing w:line="440" w:lineRule="exact"/>
        <w:jc w:val="both"/>
        <w:rPr>
          <w:rFonts w:hint="eastAsia"/>
          <w:b/>
          <w:color w:val="auto"/>
          <w:sz w:val="32"/>
          <w:szCs w:val="32"/>
        </w:rPr>
      </w:pPr>
    </w:p>
    <w:p w14:paraId="3DC4CC7F">
      <w:pPr>
        <w:spacing w:line="440" w:lineRule="exact"/>
        <w:jc w:val="both"/>
        <w:rPr>
          <w:rFonts w:hint="eastAsia"/>
          <w:b/>
          <w:color w:val="auto"/>
          <w:sz w:val="32"/>
          <w:szCs w:val="32"/>
        </w:rPr>
      </w:pPr>
    </w:p>
    <w:p w14:paraId="7B8A55D1">
      <w:pPr>
        <w:spacing w:line="440" w:lineRule="exact"/>
        <w:jc w:val="center"/>
        <w:rPr>
          <w:b/>
          <w:color w:val="auto"/>
          <w:sz w:val="32"/>
          <w:szCs w:val="32"/>
        </w:rPr>
      </w:pPr>
      <w:r>
        <w:rPr>
          <w:rFonts w:hint="eastAsia"/>
          <w:b/>
          <w:color w:val="auto"/>
          <w:sz w:val="32"/>
          <w:szCs w:val="32"/>
        </w:rPr>
        <w:t>参数偏离情况表</w:t>
      </w:r>
    </w:p>
    <w:p w14:paraId="1DD9DC39">
      <w:pPr>
        <w:spacing w:line="440" w:lineRule="exact"/>
        <w:rPr>
          <w:b/>
          <w:bCs/>
          <w:color w:val="auto"/>
          <w:sz w:val="24"/>
        </w:rPr>
      </w:pPr>
      <w:r>
        <w:rPr>
          <w:rFonts w:hint="eastAsia"/>
          <w:b/>
          <w:bCs/>
          <w:color w:val="auto"/>
          <w:sz w:val="24"/>
        </w:rPr>
        <w:t>填写要求：</w:t>
      </w:r>
    </w:p>
    <w:p w14:paraId="6A6B8C28">
      <w:pPr>
        <w:spacing w:line="440" w:lineRule="exact"/>
        <w:rPr>
          <w:color w:val="auto"/>
          <w:sz w:val="24"/>
        </w:rPr>
      </w:pPr>
      <w:r>
        <w:rPr>
          <w:rFonts w:hint="eastAsia"/>
          <w:color w:val="auto"/>
          <w:sz w:val="24"/>
        </w:rPr>
        <w:t>1、请按用户需求</w:t>
      </w:r>
      <w:r>
        <w:rPr>
          <w:rFonts w:hint="eastAsia"/>
          <w:color w:val="auto"/>
          <w:sz w:val="24"/>
          <w:lang w:val="en-US" w:eastAsia="zh-CN"/>
        </w:rPr>
        <w:t>的</w:t>
      </w:r>
      <w:r>
        <w:rPr>
          <w:rFonts w:hint="eastAsia"/>
          <w:color w:val="auto"/>
          <w:sz w:val="24"/>
        </w:rPr>
        <w:t>要求</w:t>
      </w:r>
      <w:r>
        <w:rPr>
          <w:rFonts w:hint="eastAsia"/>
          <w:b/>
          <w:bCs/>
          <w:color w:val="auto"/>
          <w:sz w:val="24"/>
        </w:rPr>
        <w:t>逐条响应</w:t>
      </w:r>
      <w:r>
        <w:rPr>
          <w:rFonts w:hint="eastAsia"/>
          <w:color w:val="auto"/>
          <w:sz w:val="24"/>
        </w:rPr>
        <w:t>，正负偏离参数</w:t>
      </w:r>
      <w:r>
        <w:rPr>
          <w:rFonts w:hint="eastAsia"/>
          <w:color w:val="auto"/>
          <w:sz w:val="24"/>
          <w:lang w:val="en-US" w:eastAsia="zh-CN"/>
        </w:rPr>
        <w:t>请</w:t>
      </w:r>
      <w:r>
        <w:rPr>
          <w:rFonts w:hint="eastAsia"/>
          <w:color w:val="auto"/>
          <w:sz w:val="24"/>
        </w:rPr>
        <w:t>备注说明。</w:t>
      </w:r>
    </w:p>
    <w:p w14:paraId="15A54D4A">
      <w:pPr>
        <w:spacing w:line="440" w:lineRule="exact"/>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、其中带★的参数是</w:t>
      </w:r>
      <w:r>
        <w:rPr>
          <w:rFonts w:hint="eastAsia" w:ascii="宋体" w:hAnsi="宋体"/>
          <w:b/>
          <w:bCs/>
          <w:color w:val="auto"/>
          <w:sz w:val="24"/>
        </w:rPr>
        <w:t>必须完全响应</w:t>
      </w:r>
      <w:r>
        <w:rPr>
          <w:rFonts w:hint="eastAsia" w:ascii="宋体" w:hAnsi="宋体"/>
          <w:color w:val="auto"/>
          <w:sz w:val="24"/>
        </w:rPr>
        <w:t>的参数。</w:t>
      </w:r>
    </w:p>
    <w:p w14:paraId="3088029E">
      <w:pPr>
        <w:spacing w:line="440" w:lineRule="exact"/>
        <w:rPr>
          <w:rFonts w:hint="default" w:ascii="宋体" w:hAnsi="宋体" w:eastAsia="宋体"/>
          <w:color w:val="auto"/>
          <w:sz w:val="24"/>
          <w:lang w:val="en-US" w:eastAsia="zh-CN"/>
        </w:rPr>
      </w:pPr>
      <w:r>
        <w:rPr>
          <w:rFonts w:hint="eastAsia" w:ascii="宋体" w:hAnsi="宋体"/>
          <w:color w:val="auto"/>
          <w:sz w:val="24"/>
          <w:lang w:val="en-US" w:eastAsia="zh-CN"/>
        </w:rPr>
        <w:t>3、所投产品的</w:t>
      </w:r>
      <w:r>
        <w:rPr>
          <w:rFonts w:hint="eastAsia" w:ascii="宋体" w:hAnsi="宋体"/>
          <w:b/>
          <w:bCs/>
          <w:color w:val="auto"/>
          <w:sz w:val="24"/>
          <w:lang w:val="en-US" w:eastAsia="zh-CN"/>
        </w:rPr>
        <w:t>参数满足率≥90%</w:t>
      </w:r>
      <w:r>
        <w:rPr>
          <w:rFonts w:hint="eastAsia" w:ascii="宋体" w:hAnsi="宋体"/>
          <w:color w:val="auto"/>
          <w:sz w:val="24"/>
          <w:lang w:val="en-US" w:eastAsia="zh-CN"/>
        </w:rPr>
        <w:t>方视为满足需求的合格产品。</w:t>
      </w:r>
    </w:p>
    <w:p w14:paraId="27506DA1">
      <w:pPr>
        <w:spacing w:line="380" w:lineRule="exact"/>
        <w:rPr>
          <w:rFonts w:ascii="宋体" w:hAnsi="宋体"/>
          <w:color w:val="auto"/>
          <w:szCs w:val="21"/>
        </w:rPr>
      </w:pPr>
    </w:p>
    <w:p w14:paraId="3C02B5E6">
      <w:pPr>
        <w:numPr>
          <w:ilvl w:val="0"/>
          <w:numId w:val="2"/>
        </w:numPr>
        <w:tabs>
          <w:tab w:val="left" w:pos="720"/>
        </w:tabs>
        <w:spacing w:line="340" w:lineRule="exact"/>
        <w:jc w:val="left"/>
        <w:rPr>
          <w:rFonts w:ascii="宋体" w:hAnsi="宋体"/>
          <w:b/>
          <w:bCs/>
          <w:color w:val="auto"/>
          <w:sz w:val="30"/>
          <w:szCs w:val="30"/>
        </w:rPr>
      </w:pPr>
      <w:r>
        <w:rPr>
          <w:rFonts w:hint="eastAsia" w:ascii="宋体" w:hAnsi="宋体"/>
          <w:b/>
          <w:bCs/>
          <w:color w:val="auto"/>
          <w:sz w:val="30"/>
          <w:szCs w:val="30"/>
        </w:rPr>
        <w:t>技术要求：</w:t>
      </w:r>
      <w:r>
        <w:rPr>
          <w:rFonts w:hint="eastAsia" w:asciiTheme="minorEastAsia" w:hAnsiTheme="minorEastAsia" w:eastAsiaTheme="minorEastAsia" w:cstheme="minorEastAsia"/>
          <w:color w:val="auto"/>
          <w:sz w:val="24"/>
        </w:rPr>
        <w:t>（请按用户需求里的技术要求及配置要求</w:t>
      </w:r>
      <w:r>
        <w:rPr>
          <w:rFonts w:hint="eastAsia" w:asciiTheme="minorEastAsia" w:hAnsiTheme="minorEastAsia" w:eastAsiaTheme="minorEastAsia" w:cstheme="minorEastAsia"/>
          <w:color w:val="auto"/>
          <w:sz w:val="24"/>
          <w:highlight w:val="yellow"/>
        </w:rPr>
        <w:t>逐条</w:t>
      </w:r>
      <w:r>
        <w:rPr>
          <w:rFonts w:hint="eastAsia" w:asciiTheme="minorEastAsia" w:hAnsiTheme="minorEastAsia" w:eastAsiaTheme="minorEastAsia" w:cstheme="minorEastAsia"/>
          <w:color w:val="auto"/>
          <w:sz w:val="24"/>
        </w:rPr>
        <w:t>响应）</w:t>
      </w:r>
    </w:p>
    <w:p w14:paraId="3565A978">
      <w:pPr>
        <w:tabs>
          <w:tab w:val="left" w:pos="720"/>
        </w:tabs>
        <w:spacing w:line="340" w:lineRule="exact"/>
        <w:jc w:val="left"/>
        <w:rPr>
          <w:rFonts w:ascii="宋体" w:hAnsi="宋体"/>
          <w:b/>
          <w:bCs/>
          <w:color w:val="auto"/>
          <w:szCs w:val="21"/>
        </w:rPr>
      </w:pP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841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3CAE10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序号</w:t>
            </w:r>
          </w:p>
        </w:tc>
        <w:tc>
          <w:tcPr>
            <w:tcW w:w="1116" w:type="dxa"/>
            <w:shd w:val="clear" w:color="000000" w:fill="FFFFFF"/>
            <w:noWrap/>
            <w:vAlign w:val="center"/>
          </w:tcPr>
          <w:p w14:paraId="3904949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技术参数项目</w:t>
            </w:r>
          </w:p>
        </w:tc>
        <w:tc>
          <w:tcPr>
            <w:tcW w:w="4638" w:type="dxa"/>
            <w:shd w:val="clear" w:color="000000" w:fill="FFFFFF"/>
            <w:noWrap/>
            <w:vAlign w:val="center"/>
          </w:tcPr>
          <w:p w14:paraId="2F149412">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技术参数及配置要求</w:t>
            </w:r>
          </w:p>
        </w:tc>
        <w:tc>
          <w:tcPr>
            <w:tcW w:w="1072" w:type="dxa"/>
            <w:shd w:val="clear" w:color="000000" w:fill="FFFFFF"/>
            <w:noWrap/>
            <w:vAlign w:val="center"/>
          </w:tcPr>
          <w:p w14:paraId="24A7613F">
            <w:pPr>
              <w:tabs>
                <w:tab w:val="left" w:pos="720"/>
              </w:tabs>
              <w:spacing w:line="440" w:lineRule="exact"/>
              <w:jc w:val="center"/>
              <w:rPr>
                <w:rFonts w:ascii="宋体" w:hAnsi="宋体" w:cs="宋体"/>
                <w:bCs/>
                <w:color w:val="auto"/>
                <w:szCs w:val="21"/>
              </w:rPr>
            </w:pPr>
            <w:r>
              <w:rPr>
                <w:rFonts w:hint="eastAsia" w:ascii="宋体" w:hAnsi="宋体" w:cs="宋体"/>
                <w:bCs/>
                <w:color w:val="auto"/>
                <w:szCs w:val="21"/>
              </w:rPr>
              <w:t>完全响应或</w:t>
            </w:r>
          </w:p>
          <w:p w14:paraId="0D9D467F">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正/负偏离</w:t>
            </w:r>
          </w:p>
        </w:tc>
        <w:tc>
          <w:tcPr>
            <w:tcW w:w="1669" w:type="dxa"/>
            <w:shd w:val="clear" w:color="000000" w:fill="FFFFFF"/>
            <w:noWrap/>
            <w:vAlign w:val="center"/>
          </w:tcPr>
          <w:p w14:paraId="5F76EF9E">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偏离情况说明</w:t>
            </w:r>
          </w:p>
        </w:tc>
      </w:tr>
      <w:tr w14:paraId="356B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0832A81">
            <w:pPr>
              <w:autoSpaceDE w:val="0"/>
              <w:autoSpaceDN w:val="0"/>
              <w:adjustRightInd w:val="0"/>
              <w:spacing w:line="4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w:t>
            </w:r>
          </w:p>
        </w:tc>
        <w:tc>
          <w:tcPr>
            <w:tcW w:w="1116" w:type="dxa"/>
            <w:vMerge w:val="restart"/>
            <w:shd w:val="clear" w:color="000000" w:fill="FFFFFF"/>
            <w:noWrap/>
            <w:vAlign w:val="center"/>
          </w:tcPr>
          <w:p w14:paraId="4B82E0A8">
            <w:pPr>
              <w:autoSpaceDE w:val="0"/>
              <w:autoSpaceDN w:val="0"/>
              <w:adjustRightInd w:val="0"/>
              <w:spacing w:line="440" w:lineRule="exact"/>
              <w:jc w:val="center"/>
              <w:rPr>
                <w:rFonts w:ascii="宋体" w:hAnsi="宋体" w:cs="宋体"/>
                <w:bCs/>
                <w:color w:val="auto"/>
                <w:kern w:val="0"/>
                <w:sz w:val="18"/>
                <w:szCs w:val="18"/>
                <w:lang w:val="zh-CN"/>
              </w:rPr>
            </w:pPr>
          </w:p>
        </w:tc>
        <w:tc>
          <w:tcPr>
            <w:tcW w:w="4638" w:type="dxa"/>
            <w:shd w:val="clear" w:color="000000" w:fill="FFFFFF"/>
            <w:noWrap/>
            <w:vAlign w:val="center"/>
          </w:tcPr>
          <w:p w14:paraId="7840208D">
            <w:pPr>
              <w:tabs>
                <w:tab w:val="left" w:pos="720"/>
              </w:tabs>
              <w:jc w:val="left"/>
              <w:rPr>
                <w:rFonts w:ascii="宋体" w:hAnsi="宋体" w:cs="宋体"/>
                <w:bCs/>
                <w:color w:val="auto"/>
                <w:kern w:val="0"/>
                <w:sz w:val="18"/>
                <w:szCs w:val="18"/>
                <w:lang w:val="zh-CN"/>
              </w:rPr>
            </w:pPr>
            <w:r>
              <w:rPr>
                <w:rFonts w:hint="eastAsia" w:ascii="宋体" w:hAnsi="宋体" w:cs="宋体"/>
                <w:bCs/>
                <w:color w:val="auto"/>
                <w:kern w:val="0"/>
                <w:sz w:val="18"/>
                <w:szCs w:val="18"/>
                <w:lang w:val="zh-CN"/>
              </w:rPr>
              <w:t>1.1</w:t>
            </w:r>
          </w:p>
        </w:tc>
        <w:tc>
          <w:tcPr>
            <w:tcW w:w="1072" w:type="dxa"/>
            <w:shd w:val="clear" w:color="000000" w:fill="FFFFFF"/>
            <w:noWrap/>
            <w:vAlign w:val="center"/>
          </w:tcPr>
          <w:p w14:paraId="0ECA7641">
            <w:pPr>
              <w:autoSpaceDE w:val="0"/>
              <w:autoSpaceDN w:val="0"/>
              <w:adjustRightInd w:val="0"/>
              <w:spacing w:line="440" w:lineRule="exact"/>
              <w:jc w:val="center"/>
              <w:rPr>
                <w:rFonts w:ascii="宋体" w:hAnsi="宋体" w:cs="宋体"/>
                <w:bCs/>
                <w:color w:val="auto"/>
                <w:sz w:val="18"/>
                <w:szCs w:val="18"/>
              </w:rPr>
            </w:pPr>
          </w:p>
        </w:tc>
        <w:tc>
          <w:tcPr>
            <w:tcW w:w="1669" w:type="dxa"/>
            <w:shd w:val="clear" w:color="000000" w:fill="FFFFFF"/>
            <w:noWrap/>
            <w:vAlign w:val="center"/>
          </w:tcPr>
          <w:p w14:paraId="7251DC55">
            <w:pPr>
              <w:widowControl/>
              <w:spacing w:line="440" w:lineRule="exact"/>
              <w:rPr>
                <w:rFonts w:ascii="宋体" w:hAnsi="宋体" w:cs="宋体"/>
                <w:bCs/>
                <w:color w:val="auto"/>
                <w:sz w:val="18"/>
                <w:szCs w:val="18"/>
              </w:rPr>
            </w:pPr>
          </w:p>
        </w:tc>
      </w:tr>
      <w:tr w14:paraId="1AB5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EA2E070">
            <w:pPr>
              <w:autoSpaceDE w:val="0"/>
              <w:autoSpaceDN w:val="0"/>
              <w:adjustRightInd w:val="0"/>
              <w:spacing w:line="440" w:lineRule="exact"/>
              <w:jc w:val="center"/>
              <w:rPr>
                <w:rFonts w:ascii="宋体" w:hAnsi="宋体" w:cs="宋体"/>
                <w:bCs/>
                <w:color w:val="auto"/>
                <w:kern w:val="0"/>
                <w:sz w:val="18"/>
                <w:szCs w:val="18"/>
              </w:rPr>
            </w:pPr>
          </w:p>
        </w:tc>
        <w:tc>
          <w:tcPr>
            <w:tcW w:w="1116" w:type="dxa"/>
            <w:vMerge w:val="continue"/>
            <w:shd w:val="clear" w:color="000000" w:fill="FFFFFF"/>
            <w:noWrap/>
            <w:vAlign w:val="center"/>
          </w:tcPr>
          <w:p w14:paraId="1683F07A">
            <w:pPr>
              <w:autoSpaceDE w:val="0"/>
              <w:autoSpaceDN w:val="0"/>
              <w:adjustRightInd w:val="0"/>
              <w:spacing w:line="440" w:lineRule="exact"/>
              <w:jc w:val="center"/>
              <w:rPr>
                <w:rFonts w:ascii="宋体" w:hAnsi="宋体" w:cs="宋体"/>
                <w:bCs/>
                <w:color w:val="auto"/>
                <w:sz w:val="18"/>
                <w:szCs w:val="18"/>
              </w:rPr>
            </w:pPr>
          </w:p>
        </w:tc>
        <w:tc>
          <w:tcPr>
            <w:tcW w:w="4638" w:type="dxa"/>
            <w:vMerge w:val="restart"/>
            <w:shd w:val="clear" w:color="000000" w:fill="FFFFFF"/>
            <w:noWrap/>
            <w:vAlign w:val="center"/>
          </w:tcPr>
          <w:p w14:paraId="4FA94A60">
            <w:pPr>
              <w:tabs>
                <w:tab w:val="left" w:pos="720"/>
              </w:tabs>
              <w:jc w:val="left"/>
              <w:rPr>
                <w:rFonts w:ascii="宋体" w:hAnsi="宋体" w:cs="宋体"/>
                <w:bCs/>
                <w:color w:val="auto"/>
                <w:sz w:val="18"/>
                <w:szCs w:val="18"/>
              </w:rPr>
            </w:pPr>
            <w:r>
              <w:rPr>
                <w:rFonts w:hint="eastAsia" w:ascii="宋体" w:hAnsi="宋体" w:cs="宋体"/>
                <w:bCs/>
                <w:color w:val="auto"/>
                <w:sz w:val="18"/>
                <w:szCs w:val="18"/>
              </w:rPr>
              <w:t>1.2</w:t>
            </w:r>
          </w:p>
        </w:tc>
        <w:tc>
          <w:tcPr>
            <w:tcW w:w="1072" w:type="dxa"/>
            <w:vMerge w:val="restart"/>
            <w:shd w:val="clear" w:color="000000" w:fill="FFFFFF"/>
            <w:noWrap/>
            <w:vAlign w:val="center"/>
          </w:tcPr>
          <w:p w14:paraId="5EF28604">
            <w:pPr>
              <w:autoSpaceDE w:val="0"/>
              <w:autoSpaceDN w:val="0"/>
              <w:adjustRightInd w:val="0"/>
              <w:spacing w:line="440" w:lineRule="exact"/>
              <w:jc w:val="center"/>
              <w:rPr>
                <w:rFonts w:ascii="宋体" w:hAnsi="宋体" w:cs="宋体"/>
                <w:bCs/>
                <w:color w:val="auto"/>
                <w:sz w:val="18"/>
                <w:szCs w:val="18"/>
              </w:rPr>
            </w:pPr>
          </w:p>
        </w:tc>
        <w:tc>
          <w:tcPr>
            <w:tcW w:w="1669" w:type="dxa"/>
            <w:vMerge w:val="restart"/>
            <w:shd w:val="clear" w:color="000000" w:fill="FFFFFF"/>
            <w:noWrap/>
            <w:vAlign w:val="center"/>
          </w:tcPr>
          <w:p w14:paraId="1E09927B">
            <w:pPr>
              <w:widowControl/>
              <w:spacing w:line="440" w:lineRule="exact"/>
              <w:rPr>
                <w:rFonts w:ascii="宋体" w:hAnsi="宋体" w:cs="宋体"/>
                <w:bCs/>
                <w:color w:val="auto"/>
                <w:sz w:val="18"/>
                <w:szCs w:val="18"/>
              </w:rPr>
            </w:pPr>
          </w:p>
        </w:tc>
      </w:tr>
      <w:tr w14:paraId="508F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4408E14">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1B2AF939">
            <w:pPr>
              <w:widowControl/>
              <w:spacing w:line="440" w:lineRule="exact"/>
              <w:jc w:val="center"/>
              <w:rPr>
                <w:rFonts w:ascii="宋体" w:hAnsi="宋体" w:cs="宋体"/>
                <w:bCs/>
                <w:color w:val="auto"/>
                <w:sz w:val="18"/>
                <w:szCs w:val="18"/>
              </w:rPr>
            </w:pPr>
          </w:p>
        </w:tc>
        <w:tc>
          <w:tcPr>
            <w:tcW w:w="4638" w:type="dxa"/>
            <w:vMerge w:val="continue"/>
            <w:shd w:val="clear" w:color="000000" w:fill="FFFFFF"/>
            <w:noWrap/>
            <w:vAlign w:val="center"/>
          </w:tcPr>
          <w:p w14:paraId="6646F8ED">
            <w:pPr>
              <w:numPr>
                <w:ilvl w:val="0"/>
                <w:numId w:val="3"/>
              </w:numPr>
              <w:tabs>
                <w:tab w:val="left" w:pos="720"/>
              </w:tabs>
              <w:jc w:val="left"/>
              <w:rPr>
                <w:rFonts w:ascii="宋体" w:hAnsi="宋体" w:cs="宋体"/>
                <w:bCs/>
                <w:color w:val="auto"/>
                <w:sz w:val="18"/>
                <w:szCs w:val="18"/>
              </w:rPr>
            </w:pPr>
          </w:p>
        </w:tc>
        <w:tc>
          <w:tcPr>
            <w:tcW w:w="1072" w:type="dxa"/>
            <w:vMerge w:val="continue"/>
            <w:shd w:val="clear" w:color="000000" w:fill="FFFFFF"/>
            <w:noWrap/>
            <w:vAlign w:val="center"/>
          </w:tcPr>
          <w:p w14:paraId="27AF8654">
            <w:pPr>
              <w:widowControl/>
              <w:spacing w:line="440" w:lineRule="exact"/>
              <w:jc w:val="center"/>
              <w:rPr>
                <w:rFonts w:ascii="宋体" w:hAnsi="宋体" w:cs="宋体"/>
                <w:bCs/>
                <w:color w:val="auto"/>
                <w:sz w:val="18"/>
                <w:szCs w:val="18"/>
              </w:rPr>
            </w:pPr>
          </w:p>
        </w:tc>
        <w:tc>
          <w:tcPr>
            <w:tcW w:w="1669" w:type="dxa"/>
            <w:vMerge w:val="continue"/>
            <w:shd w:val="clear" w:color="000000" w:fill="FFFFFF"/>
            <w:noWrap/>
            <w:vAlign w:val="center"/>
          </w:tcPr>
          <w:p w14:paraId="456FB720">
            <w:pPr>
              <w:widowControl/>
              <w:spacing w:line="440" w:lineRule="exact"/>
              <w:rPr>
                <w:rFonts w:ascii="宋体" w:hAnsi="宋体" w:cs="宋体"/>
                <w:bCs/>
                <w:color w:val="auto"/>
                <w:sz w:val="18"/>
                <w:szCs w:val="18"/>
              </w:rPr>
            </w:pPr>
          </w:p>
        </w:tc>
      </w:tr>
      <w:tr w14:paraId="6932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0947898">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4C340306">
            <w:pPr>
              <w:widowControl/>
              <w:spacing w:line="440" w:lineRule="exact"/>
              <w:jc w:val="center"/>
              <w:rPr>
                <w:rFonts w:ascii="宋体" w:hAnsi="宋体" w:cs="宋体"/>
                <w:bCs/>
                <w:color w:val="auto"/>
                <w:sz w:val="18"/>
                <w:szCs w:val="18"/>
              </w:rPr>
            </w:pPr>
          </w:p>
        </w:tc>
        <w:tc>
          <w:tcPr>
            <w:tcW w:w="4638" w:type="dxa"/>
            <w:shd w:val="clear" w:color="000000" w:fill="FFFFFF"/>
            <w:noWrap/>
            <w:vAlign w:val="center"/>
          </w:tcPr>
          <w:p w14:paraId="062C9766">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1.3</w:t>
            </w:r>
          </w:p>
        </w:tc>
        <w:tc>
          <w:tcPr>
            <w:tcW w:w="1072" w:type="dxa"/>
            <w:shd w:val="clear" w:color="000000" w:fill="FFFFFF"/>
            <w:noWrap/>
            <w:vAlign w:val="center"/>
          </w:tcPr>
          <w:p w14:paraId="35F968CE">
            <w:pPr>
              <w:widowControl/>
              <w:spacing w:line="440" w:lineRule="exact"/>
              <w:jc w:val="center"/>
              <w:rPr>
                <w:rFonts w:ascii="宋体" w:hAnsi="宋体" w:cs="宋体"/>
                <w:bCs/>
                <w:color w:val="auto"/>
                <w:sz w:val="18"/>
                <w:szCs w:val="18"/>
              </w:rPr>
            </w:pPr>
          </w:p>
        </w:tc>
        <w:tc>
          <w:tcPr>
            <w:tcW w:w="1669" w:type="dxa"/>
            <w:shd w:val="clear" w:color="000000" w:fill="FFFFFF"/>
            <w:noWrap/>
            <w:vAlign w:val="center"/>
          </w:tcPr>
          <w:p w14:paraId="47F24E7C">
            <w:pPr>
              <w:widowControl/>
              <w:spacing w:line="440" w:lineRule="exact"/>
              <w:rPr>
                <w:rFonts w:ascii="宋体" w:hAnsi="宋体" w:cs="宋体"/>
                <w:bCs/>
                <w:color w:val="auto"/>
                <w:sz w:val="18"/>
                <w:szCs w:val="18"/>
              </w:rPr>
            </w:pPr>
          </w:p>
        </w:tc>
      </w:tr>
      <w:tr w14:paraId="3109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44F7F6E">
            <w:pPr>
              <w:autoSpaceDE w:val="0"/>
              <w:autoSpaceDN w:val="0"/>
              <w:adjustRightInd w:val="0"/>
              <w:spacing w:line="440" w:lineRule="exact"/>
              <w:jc w:val="center"/>
              <w:rPr>
                <w:rFonts w:ascii="宋体" w:hAnsi="宋体" w:cs="宋体"/>
                <w:bCs/>
                <w:color w:val="auto"/>
                <w:kern w:val="0"/>
                <w:sz w:val="18"/>
                <w:szCs w:val="18"/>
                <w:lang w:val="zh-CN"/>
              </w:rPr>
            </w:pPr>
            <w:r>
              <w:rPr>
                <w:rFonts w:hint="eastAsia" w:ascii="宋体" w:hAnsi="宋体" w:cs="宋体"/>
                <w:bCs/>
                <w:color w:val="auto"/>
                <w:kern w:val="0"/>
                <w:sz w:val="18"/>
                <w:szCs w:val="18"/>
                <w:lang w:val="zh-CN"/>
              </w:rPr>
              <w:t>2</w:t>
            </w:r>
          </w:p>
        </w:tc>
        <w:tc>
          <w:tcPr>
            <w:tcW w:w="1116" w:type="dxa"/>
            <w:vMerge w:val="restart"/>
            <w:shd w:val="clear" w:color="000000" w:fill="FFFFFF"/>
            <w:noWrap/>
            <w:vAlign w:val="center"/>
          </w:tcPr>
          <w:p w14:paraId="4A818420">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64171F9">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2.1</w:t>
            </w:r>
          </w:p>
        </w:tc>
        <w:tc>
          <w:tcPr>
            <w:tcW w:w="1072" w:type="dxa"/>
            <w:shd w:val="clear" w:color="000000" w:fill="FFFFFF"/>
            <w:noWrap/>
            <w:vAlign w:val="center"/>
          </w:tcPr>
          <w:p w14:paraId="4ED65404">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3ED170AF">
            <w:pPr>
              <w:widowControl/>
              <w:spacing w:line="440" w:lineRule="exact"/>
              <w:rPr>
                <w:rFonts w:ascii="宋体" w:hAnsi="宋体" w:cs="宋体"/>
                <w:bCs/>
                <w:color w:val="auto"/>
                <w:sz w:val="18"/>
                <w:szCs w:val="18"/>
              </w:rPr>
            </w:pPr>
          </w:p>
        </w:tc>
      </w:tr>
      <w:tr w14:paraId="3958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194B30D">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1930A894">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5B5EB9A0">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2.2</w:t>
            </w:r>
          </w:p>
        </w:tc>
        <w:tc>
          <w:tcPr>
            <w:tcW w:w="1072" w:type="dxa"/>
            <w:shd w:val="clear" w:color="000000" w:fill="FFFFFF"/>
            <w:noWrap/>
            <w:vAlign w:val="center"/>
          </w:tcPr>
          <w:p w14:paraId="69875488">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5704B57D">
            <w:pPr>
              <w:widowControl/>
              <w:spacing w:line="440" w:lineRule="exact"/>
              <w:rPr>
                <w:rFonts w:ascii="宋体" w:hAnsi="宋体" w:cs="宋体"/>
                <w:bCs/>
                <w:color w:val="auto"/>
                <w:sz w:val="18"/>
                <w:szCs w:val="18"/>
              </w:rPr>
            </w:pPr>
          </w:p>
        </w:tc>
      </w:tr>
      <w:tr w14:paraId="44F2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704D72C">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32F0B88C">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360A39EE">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2.3</w:t>
            </w:r>
          </w:p>
        </w:tc>
        <w:tc>
          <w:tcPr>
            <w:tcW w:w="1072" w:type="dxa"/>
            <w:shd w:val="clear" w:color="000000" w:fill="FFFFFF"/>
            <w:noWrap/>
            <w:vAlign w:val="center"/>
          </w:tcPr>
          <w:p w14:paraId="6C0E0B2C">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3EEF73B9">
            <w:pPr>
              <w:widowControl/>
              <w:spacing w:line="440" w:lineRule="exact"/>
              <w:rPr>
                <w:rFonts w:ascii="宋体" w:hAnsi="宋体" w:cs="宋体"/>
                <w:bCs/>
                <w:color w:val="auto"/>
                <w:sz w:val="18"/>
                <w:szCs w:val="18"/>
              </w:rPr>
            </w:pPr>
          </w:p>
        </w:tc>
      </w:tr>
    </w:tbl>
    <w:p w14:paraId="71119EBB">
      <w:pPr>
        <w:spacing w:line="340" w:lineRule="exact"/>
        <w:rPr>
          <w:rFonts w:ascii="宋体"/>
          <w:color w:val="auto"/>
          <w:sz w:val="30"/>
          <w:szCs w:val="30"/>
        </w:rPr>
      </w:pPr>
    </w:p>
    <w:p w14:paraId="4C0FC5C7">
      <w:pPr>
        <w:numPr>
          <w:ilvl w:val="0"/>
          <w:numId w:val="2"/>
        </w:numPr>
        <w:tabs>
          <w:tab w:val="left" w:pos="720"/>
        </w:tabs>
        <w:spacing w:line="340" w:lineRule="exact"/>
        <w:jc w:val="left"/>
        <w:rPr>
          <w:rFonts w:ascii="宋体" w:hAnsi="宋体"/>
          <w:b/>
          <w:bCs/>
          <w:color w:val="auto"/>
          <w:sz w:val="30"/>
          <w:szCs w:val="30"/>
        </w:rPr>
      </w:pPr>
      <w:r>
        <w:rPr>
          <w:rFonts w:hint="eastAsia" w:ascii="宋体" w:hAnsi="宋体"/>
          <w:b/>
          <w:bCs/>
          <w:color w:val="auto"/>
          <w:sz w:val="30"/>
          <w:szCs w:val="30"/>
        </w:rPr>
        <w:t>商务要求：</w:t>
      </w:r>
      <w:r>
        <w:rPr>
          <w:rFonts w:hint="eastAsia" w:asciiTheme="minorEastAsia" w:hAnsiTheme="minorEastAsia" w:eastAsiaTheme="minorEastAsia" w:cstheme="minorEastAsia"/>
          <w:color w:val="auto"/>
          <w:sz w:val="24"/>
        </w:rPr>
        <w:t>（请按用户需求里的商务要求</w:t>
      </w:r>
      <w:r>
        <w:rPr>
          <w:rFonts w:hint="eastAsia" w:asciiTheme="minorEastAsia" w:hAnsiTheme="minorEastAsia" w:eastAsiaTheme="minorEastAsia" w:cstheme="minorEastAsia"/>
          <w:color w:val="auto"/>
          <w:sz w:val="24"/>
          <w:highlight w:val="yellow"/>
        </w:rPr>
        <w:t>逐条</w:t>
      </w:r>
      <w:r>
        <w:rPr>
          <w:rFonts w:hint="eastAsia" w:asciiTheme="minorEastAsia" w:hAnsiTheme="minorEastAsia" w:eastAsiaTheme="minorEastAsia" w:cstheme="minorEastAsia"/>
          <w:color w:val="auto"/>
          <w:sz w:val="24"/>
        </w:rPr>
        <w:t>响应）</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F2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BCC4ACA">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序号</w:t>
            </w:r>
          </w:p>
        </w:tc>
        <w:tc>
          <w:tcPr>
            <w:tcW w:w="1116" w:type="dxa"/>
            <w:shd w:val="clear" w:color="000000" w:fill="FFFFFF"/>
            <w:noWrap/>
            <w:vAlign w:val="center"/>
          </w:tcPr>
          <w:p w14:paraId="23605997">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商务参数项目</w:t>
            </w:r>
          </w:p>
        </w:tc>
        <w:tc>
          <w:tcPr>
            <w:tcW w:w="4638" w:type="dxa"/>
            <w:shd w:val="clear" w:color="000000" w:fill="FFFFFF"/>
            <w:noWrap/>
            <w:vAlign w:val="center"/>
          </w:tcPr>
          <w:p w14:paraId="7A2525A3">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商务要求</w:t>
            </w:r>
          </w:p>
        </w:tc>
        <w:tc>
          <w:tcPr>
            <w:tcW w:w="1072" w:type="dxa"/>
            <w:shd w:val="clear" w:color="000000" w:fill="FFFFFF"/>
            <w:noWrap/>
            <w:vAlign w:val="center"/>
          </w:tcPr>
          <w:p w14:paraId="77B097AE">
            <w:pPr>
              <w:tabs>
                <w:tab w:val="left" w:pos="720"/>
              </w:tabs>
              <w:spacing w:line="440" w:lineRule="exact"/>
              <w:jc w:val="center"/>
              <w:rPr>
                <w:rFonts w:ascii="宋体" w:hAnsi="宋体" w:cs="宋体"/>
                <w:bCs/>
                <w:color w:val="auto"/>
                <w:szCs w:val="21"/>
              </w:rPr>
            </w:pPr>
            <w:r>
              <w:rPr>
                <w:rFonts w:hint="eastAsia" w:ascii="宋体" w:hAnsi="宋体" w:cs="宋体"/>
                <w:bCs/>
                <w:color w:val="auto"/>
                <w:szCs w:val="21"/>
              </w:rPr>
              <w:t>完全响应或</w:t>
            </w:r>
          </w:p>
          <w:p w14:paraId="5E93849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正/负偏离</w:t>
            </w:r>
          </w:p>
        </w:tc>
        <w:tc>
          <w:tcPr>
            <w:tcW w:w="1669" w:type="dxa"/>
            <w:shd w:val="clear" w:color="000000" w:fill="FFFFFF"/>
            <w:noWrap/>
            <w:vAlign w:val="center"/>
          </w:tcPr>
          <w:p w14:paraId="4DDAFC2F">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偏离情况说明</w:t>
            </w:r>
          </w:p>
        </w:tc>
      </w:tr>
      <w:tr w14:paraId="7778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2993F3B">
            <w:pPr>
              <w:autoSpaceDE w:val="0"/>
              <w:autoSpaceDN w:val="0"/>
              <w:adjustRightInd w:val="0"/>
              <w:spacing w:line="4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w:t>
            </w:r>
          </w:p>
        </w:tc>
        <w:tc>
          <w:tcPr>
            <w:tcW w:w="1116" w:type="dxa"/>
            <w:vMerge w:val="restart"/>
            <w:shd w:val="clear" w:color="000000" w:fill="FFFFFF"/>
            <w:noWrap/>
            <w:vAlign w:val="center"/>
          </w:tcPr>
          <w:p w14:paraId="19EC9D5D">
            <w:pPr>
              <w:autoSpaceDE w:val="0"/>
              <w:autoSpaceDN w:val="0"/>
              <w:adjustRightInd w:val="0"/>
              <w:spacing w:line="440" w:lineRule="exact"/>
              <w:jc w:val="center"/>
              <w:rPr>
                <w:rFonts w:ascii="宋体" w:hAnsi="宋体" w:cs="宋体"/>
                <w:bCs/>
                <w:color w:val="auto"/>
                <w:kern w:val="0"/>
                <w:sz w:val="18"/>
                <w:szCs w:val="18"/>
                <w:lang w:val="zh-CN"/>
              </w:rPr>
            </w:pPr>
          </w:p>
        </w:tc>
        <w:tc>
          <w:tcPr>
            <w:tcW w:w="4638" w:type="dxa"/>
            <w:shd w:val="clear" w:color="000000" w:fill="FFFFFF"/>
            <w:noWrap/>
            <w:vAlign w:val="center"/>
          </w:tcPr>
          <w:p w14:paraId="1F8F0EA2">
            <w:pPr>
              <w:tabs>
                <w:tab w:val="left" w:pos="720"/>
              </w:tabs>
              <w:jc w:val="left"/>
              <w:rPr>
                <w:rFonts w:ascii="宋体" w:hAnsi="宋体" w:cs="宋体"/>
                <w:bCs/>
                <w:color w:val="auto"/>
                <w:kern w:val="0"/>
                <w:sz w:val="18"/>
                <w:szCs w:val="18"/>
                <w:lang w:val="zh-CN"/>
              </w:rPr>
            </w:pPr>
            <w:r>
              <w:rPr>
                <w:rFonts w:hint="eastAsia" w:ascii="宋体" w:hAnsi="宋体" w:cs="宋体"/>
                <w:bCs/>
                <w:color w:val="auto"/>
                <w:kern w:val="0"/>
                <w:sz w:val="18"/>
                <w:szCs w:val="18"/>
                <w:lang w:val="zh-CN"/>
              </w:rPr>
              <w:t>1.1</w:t>
            </w:r>
          </w:p>
        </w:tc>
        <w:tc>
          <w:tcPr>
            <w:tcW w:w="1072" w:type="dxa"/>
            <w:shd w:val="clear" w:color="000000" w:fill="FFFFFF"/>
            <w:noWrap/>
            <w:vAlign w:val="center"/>
          </w:tcPr>
          <w:p w14:paraId="1692FE16">
            <w:pPr>
              <w:autoSpaceDE w:val="0"/>
              <w:autoSpaceDN w:val="0"/>
              <w:adjustRightInd w:val="0"/>
              <w:spacing w:line="440" w:lineRule="exact"/>
              <w:jc w:val="center"/>
              <w:rPr>
                <w:rFonts w:ascii="宋体" w:hAnsi="宋体" w:cs="宋体"/>
                <w:bCs/>
                <w:color w:val="auto"/>
                <w:sz w:val="18"/>
                <w:szCs w:val="18"/>
              </w:rPr>
            </w:pPr>
          </w:p>
        </w:tc>
        <w:tc>
          <w:tcPr>
            <w:tcW w:w="1669" w:type="dxa"/>
            <w:shd w:val="clear" w:color="000000" w:fill="FFFFFF"/>
            <w:noWrap/>
            <w:vAlign w:val="center"/>
          </w:tcPr>
          <w:p w14:paraId="2B0BA429">
            <w:pPr>
              <w:widowControl/>
              <w:spacing w:line="440" w:lineRule="exact"/>
              <w:rPr>
                <w:rFonts w:ascii="宋体" w:hAnsi="宋体" w:cs="宋体"/>
                <w:bCs/>
                <w:color w:val="auto"/>
                <w:sz w:val="18"/>
                <w:szCs w:val="18"/>
              </w:rPr>
            </w:pPr>
          </w:p>
        </w:tc>
      </w:tr>
      <w:tr w14:paraId="714E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09E2A38">
            <w:pPr>
              <w:autoSpaceDE w:val="0"/>
              <w:autoSpaceDN w:val="0"/>
              <w:adjustRightInd w:val="0"/>
              <w:spacing w:line="440" w:lineRule="exact"/>
              <w:jc w:val="center"/>
              <w:rPr>
                <w:rFonts w:ascii="宋体" w:hAnsi="宋体" w:cs="宋体"/>
                <w:bCs/>
                <w:color w:val="auto"/>
                <w:kern w:val="0"/>
                <w:sz w:val="18"/>
                <w:szCs w:val="18"/>
              </w:rPr>
            </w:pPr>
          </w:p>
        </w:tc>
        <w:tc>
          <w:tcPr>
            <w:tcW w:w="1116" w:type="dxa"/>
            <w:vMerge w:val="continue"/>
            <w:shd w:val="clear" w:color="000000" w:fill="FFFFFF"/>
            <w:noWrap/>
            <w:vAlign w:val="center"/>
          </w:tcPr>
          <w:p w14:paraId="30D23D1A">
            <w:pPr>
              <w:autoSpaceDE w:val="0"/>
              <w:autoSpaceDN w:val="0"/>
              <w:adjustRightInd w:val="0"/>
              <w:spacing w:line="440" w:lineRule="exact"/>
              <w:jc w:val="center"/>
              <w:rPr>
                <w:rFonts w:ascii="宋体" w:hAnsi="宋体" w:cs="宋体"/>
                <w:bCs/>
                <w:color w:val="auto"/>
                <w:sz w:val="18"/>
                <w:szCs w:val="18"/>
              </w:rPr>
            </w:pPr>
          </w:p>
        </w:tc>
        <w:tc>
          <w:tcPr>
            <w:tcW w:w="4638" w:type="dxa"/>
            <w:vMerge w:val="restart"/>
            <w:shd w:val="clear" w:color="000000" w:fill="FFFFFF"/>
            <w:noWrap/>
            <w:vAlign w:val="center"/>
          </w:tcPr>
          <w:p w14:paraId="6A040FE7">
            <w:pPr>
              <w:tabs>
                <w:tab w:val="left" w:pos="720"/>
              </w:tabs>
              <w:jc w:val="left"/>
              <w:rPr>
                <w:rFonts w:ascii="宋体" w:hAnsi="宋体" w:cs="宋体"/>
                <w:bCs/>
                <w:color w:val="auto"/>
                <w:sz w:val="18"/>
                <w:szCs w:val="18"/>
              </w:rPr>
            </w:pPr>
            <w:r>
              <w:rPr>
                <w:rFonts w:hint="eastAsia" w:ascii="宋体" w:hAnsi="宋体" w:cs="宋体"/>
                <w:bCs/>
                <w:color w:val="auto"/>
                <w:sz w:val="18"/>
                <w:szCs w:val="18"/>
              </w:rPr>
              <w:t>1.2</w:t>
            </w:r>
          </w:p>
        </w:tc>
        <w:tc>
          <w:tcPr>
            <w:tcW w:w="1072" w:type="dxa"/>
            <w:vMerge w:val="restart"/>
            <w:shd w:val="clear" w:color="000000" w:fill="FFFFFF"/>
            <w:noWrap/>
            <w:vAlign w:val="center"/>
          </w:tcPr>
          <w:p w14:paraId="51821811">
            <w:pPr>
              <w:autoSpaceDE w:val="0"/>
              <w:autoSpaceDN w:val="0"/>
              <w:adjustRightInd w:val="0"/>
              <w:spacing w:line="440" w:lineRule="exact"/>
              <w:jc w:val="center"/>
              <w:rPr>
                <w:rFonts w:ascii="宋体" w:hAnsi="宋体" w:cs="宋体"/>
                <w:bCs/>
                <w:color w:val="auto"/>
                <w:sz w:val="18"/>
                <w:szCs w:val="18"/>
              </w:rPr>
            </w:pPr>
          </w:p>
        </w:tc>
        <w:tc>
          <w:tcPr>
            <w:tcW w:w="1669" w:type="dxa"/>
            <w:vMerge w:val="restart"/>
            <w:shd w:val="clear" w:color="000000" w:fill="FFFFFF"/>
            <w:noWrap/>
            <w:vAlign w:val="center"/>
          </w:tcPr>
          <w:p w14:paraId="27496899">
            <w:pPr>
              <w:widowControl/>
              <w:spacing w:line="440" w:lineRule="exact"/>
              <w:rPr>
                <w:rFonts w:ascii="宋体" w:hAnsi="宋体" w:cs="宋体"/>
                <w:bCs/>
                <w:color w:val="auto"/>
                <w:sz w:val="18"/>
                <w:szCs w:val="18"/>
              </w:rPr>
            </w:pPr>
          </w:p>
        </w:tc>
      </w:tr>
      <w:tr w14:paraId="5F7B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438323A">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65C8EBB4">
            <w:pPr>
              <w:widowControl/>
              <w:spacing w:line="440" w:lineRule="exact"/>
              <w:jc w:val="center"/>
              <w:rPr>
                <w:rFonts w:ascii="宋体" w:hAnsi="宋体" w:cs="宋体"/>
                <w:bCs/>
                <w:color w:val="auto"/>
                <w:sz w:val="18"/>
                <w:szCs w:val="18"/>
              </w:rPr>
            </w:pPr>
          </w:p>
        </w:tc>
        <w:tc>
          <w:tcPr>
            <w:tcW w:w="4638" w:type="dxa"/>
            <w:vMerge w:val="continue"/>
            <w:shd w:val="clear" w:color="000000" w:fill="FFFFFF"/>
            <w:noWrap/>
            <w:vAlign w:val="center"/>
          </w:tcPr>
          <w:p w14:paraId="5B5098E6">
            <w:pPr>
              <w:numPr>
                <w:ilvl w:val="0"/>
                <w:numId w:val="3"/>
              </w:numPr>
              <w:tabs>
                <w:tab w:val="left" w:pos="720"/>
              </w:tabs>
              <w:jc w:val="left"/>
              <w:rPr>
                <w:rFonts w:ascii="宋体" w:hAnsi="宋体" w:cs="宋体"/>
                <w:bCs/>
                <w:color w:val="auto"/>
                <w:sz w:val="18"/>
                <w:szCs w:val="18"/>
              </w:rPr>
            </w:pPr>
          </w:p>
        </w:tc>
        <w:tc>
          <w:tcPr>
            <w:tcW w:w="1072" w:type="dxa"/>
            <w:vMerge w:val="continue"/>
            <w:shd w:val="clear" w:color="000000" w:fill="FFFFFF"/>
            <w:noWrap/>
            <w:vAlign w:val="center"/>
          </w:tcPr>
          <w:p w14:paraId="09A0640D">
            <w:pPr>
              <w:widowControl/>
              <w:spacing w:line="440" w:lineRule="exact"/>
              <w:jc w:val="center"/>
              <w:rPr>
                <w:rFonts w:ascii="宋体" w:hAnsi="宋体" w:cs="宋体"/>
                <w:bCs/>
                <w:color w:val="auto"/>
                <w:sz w:val="18"/>
                <w:szCs w:val="18"/>
              </w:rPr>
            </w:pPr>
          </w:p>
        </w:tc>
        <w:tc>
          <w:tcPr>
            <w:tcW w:w="1669" w:type="dxa"/>
            <w:vMerge w:val="continue"/>
            <w:shd w:val="clear" w:color="000000" w:fill="FFFFFF"/>
            <w:noWrap/>
            <w:vAlign w:val="center"/>
          </w:tcPr>
          <w:p w14:paraId="585D79D5">
            <w:pPr>
              <w:widowControl/>
              <w:spacing w:line="440" w:lineRule="exact"/>
              <w:rPr>
                <w:rFonts w:ascii="宋体" w:hAnsi="宋体" w:cs="宋体"/>
                <w:bCs/>
                <w:color w:val="auto"/>
                <w:sz w:val="18"/>
                <w:szCs w:val="18"/>
              </w:rPr>
            </w:pPr>
          </w:p>
        </w:tc>
      </w:tr>
      <w:tr w14:paraId="602B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6D128EE">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278A13F7">
            <w:pPr>
              <w:widowControl/>
              <w:spacing w:line="440" w:lineRule="exact"/>
              <w:jc w:val="center"/>
              <w:rPr>
                <w:rFonts w:ascii="宋体" w:hAnsi="宋体" w:cs="宋体"/>
                <w:bCs/>
                <w:color w:val="auto"/>
                <w:sz w:val="18"/>
                <w:szCs w:val="18"/>
              </w:rPr>
            </w:pPr>
          </w:p>
        </w:tc>
        <w:tc>
          <w:tcPr>
            <w:tcW w:w="4638" w:type="dxa"/>
            <w:shd w:val="clear" w:color="000000" w:fill="FFFFFF"/>
            <w:noWrap/>
            <w:vAlign w:val="center"/>
          </w:tcPr>
          <w:p w14:paraId="6FA6D3B2">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1.3</w:t>
            </w:r>
          </w:p>
        </w:tc>
        <w:tc>
          <w:tcPr>
            <w:tcW w:w="1072" w:type="dxa"/>
            <w:shd w:val="clear" w:color="000000" w:fill="FFFFFF"/>
            <w:noWrap/>
            <w:vAlign w:val="center"/>
          </w:tcPr>
          <w:p w14:paraId="4B7BA723">
            <w:pPr>
              <w:widowControl/>
              <w:spacing w:line="440" w:lineRule="exact"/>
              <w:jc w:val="center"/>
              <w:rPr>
                <w:rFonts w:ascii="宋体" w:hAnsi="宋体" w:cs="宋体"/>
                <w:bCs/>
                <w:color w:val="auto"/>
                <w:sz w:val="18"/>
                <w:szCs w:val="18"/>
              </w:rPr>
            </w:pPr>
          </w:p>
        </w:tc>
        <w:tc>
          <w:tcPr>
            <w:tcW w:w="1669" w:type="dxa"/>
            <w:shd w:val="clear" w:color="000000" w:fill="FFFFFF"/>
            <w:noWrap/>
            <w:vAlign w:val="center"/>
          </w:tcPr>
          <w:p w14:paraId="7FDFB62C">
            <w:pPr>
              <w:widowControl/>
              <w:spacing w:line="440" w:lineRule="exact"/>
              <w:rPr>
                <w:rFonts w:ascii="宋体" w:hAnsi="宋体" w:cs="宋体"/>
                <w:bCs/>
                <w:color w:val="auto"/>
                <w:sz w:val="18"/>
                <w:szCs w:val="18"/>
              </w:rPr>
            </w:pPr>
          </w:p>
        </w:tc>
      </w:tr>
      <w:tr w14:paraId="530F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C213B0F">
            <w:pPr>
              <w:autoSpaceDE w:val="0"/>
              <w:autoSpaceDN w:val="0"/>
              <w:adjustRightInd w:val="0"/>
              <w:spacing w:line="440" w:lineRule="exact"/>
              <w:jc w:val="center"/>
              <w:rPr>
                <w:rFonts w:ascii="宋体" w:hAnsi="宋体" w:cs="宋体"/>
                <w:bCs/>
                <w:color w:val="auto"/>
                <w:kern w:val="0"/>
                <w:sz w:val="18"/>
                <w:szCs w:val="18"/>
                <w:lang w:val="zh-CN"/>
              </w:rPr>
            </w:pPr>
            <w:r>
              <w:rPr>
                <w:rFonts w:hint="eastAsia" w:ascii="宋体" w:hAnsi="宋体" w:cs="宋体"/>
                <w:bCs/>
                <w:color w:val="auto"/>
                <w:kern w:val="0"/>
                <w:sz w:val="18"/>
                <w:szCs w:val="18"/>
                <w:lang w:val="zh-CN"/>
              </w:rPr>
              <w:t>2</w:t>
            </w:r>
          </w:p>
        </w:tc>
        <w:tc>
          <w:tcPr>
            <w:tcW w:w="1116" w:type="dxa"/>
            <w:vMerge w:val="restart"/>
            <w:shd w:val="clear" w:color="000000" w:fill="FFFFFF"/>
            <w:noWrap/>
            <w:vAlign w:val="center"/>
          </w:tcPr>
          <w:p w14:paraId="53499E72">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3C023979">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2.1</w:t>
            </w:r>
          </w:p>
        </w:tc>
        <w:tc>
          <w:tcPr>
            <w:tcW w:w="1072" w:type="dxa"/>
            <w:shd w:val="clear" w:color="000000" w:fill="FFFFFF"/>
            <w:noWrap/>
            <w:vAlign w:val="center"/>
          </w:tcPr>
          <w:p w14:paraId="790C8B91">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4A469A90">
            <w:pPr>
              <w:widowControl/>
              <w:spacing w:line="440" w:lineRule="exact"/>
              <w:rPr>
                <w:rFonts w:ascii="宋体" w:hAnsi="宋体" w:cs="宋体"/>
                <w:bCs/>
                <w:color w:val="auto"/>
                <w:sz w:val="18"/>
                <w:szCs w:val="18"/>
              </w:rPr>
            </w:pPr>
          </w:p>
        </w:tc>
      </w:tr>
      <w:tr w14:paraId="2B9A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536D22C">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79BF7D91">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4D59B16">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2.2</w:t>
            </w:r>
          </w:p>
        </w:tc>
        <w:tc>
          <w:tcPr>
            <w:tcW w:w="1072" w:type="dxa"/>
            <w:shd w:val="clear" w:color="000000" w:fill="FFFFFF"/>
            <w:noWrap/>
            <w:vAlign w:val="center"/>
          </w:tcPr>
          <w:p w14:paraId="256E2659">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127938CC">
            <w:pPr>
              <w:widowControl/>
              <w:spacing w:line="440" w:lineRule="exact"/>
              <w:rPr>
                <w:rFonts w:ascii="宋体" w:hAnsi="宋体" w:cs="宋体"/>
                <w:bCs/>
                <w:color w:val="auto"/>
                <w:sz w:val="18"/>
                <w:szCs w:val="18"/>
              </w:rPr>
            </w:pPr>
          </w:p>
        </w:tc>
      </w:tr>
      <w:tr w14:paraId="0DAA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0E86E94">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51CA4C71">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951FC7E">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2.3</w:t>
            </w:r>
          </w:p>
        </w:tc>
        <w:tc>
          <w:tcPr>
            <w:tcW w:w="1072" w:type="dxa"/>
            <w:shd w:val="clear" w:color="000000" w:fill="FFFFFF"/>
            <w:noWrap/>
            <w:vAlign w:val="center"/>
          </w:tcPr>
          <w:p w14:paraId="10726F38">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48DD58AB">
            <w:pPr>
              <w:widowControl/>
              <w:spacing w:line="440" w:lineRule="exact"/>
              <w:rPr>
                <w:rFonts w:ascii="宋体" w:hAnsi="宋体" w:cs="宋体"/>
                <w:bCs/>
                <w:color w:val="auto"/>
                <w:sz w:val="18"/>
                <w:szCs w:val="18"/>
              </w:rPr>
            </w:pPr>
          </w:p>
        </w:tc>
      </w:tr>
    </w:tbl>
    <w:p w14:paraId="00363A08">
      <w:pPr>
        <w:tabs>
          <w:tab w:val="left" w:pos="720"/>
        </w:tabs>
        <w:spacing w:line="340" w:lineRule="exact"/>
        <w:jc w:val="left"/>
        <w:rPr>
          <w:rFonts w:ascii="宋体" w:hAnsi="宋体"/>
          <w:b/>
          <w:bCs/>
          <w:color w:val="auto"/>
          <w:sz w:val="30"/>
          <w:szCs w:val="30"/>
        </w:rPr>
      </w:pPr>
    </w:p>
    <w:p w14:paraId="40BAE5C7">
      <w:pPr>
        <w:spacing w:line="440" w:lineRule="exact"/>
        <w:rPr>
          <w:rFonts w:ascii="宋体" w:hAnsi="宋体"/>
          <w:color w:val="auto"/>
          <w:sz w:val="24"/>
        </w:rPr>
      </w:pPr>
    </w:p>
    <w:p w14:paraId="54D48189">
      <w:pPr>
        <w:rPr>
          <w:color w:val="auto"/>
        </w:rPr>
      </w:pPr>
    </w:p>
    <w:p w14:paraId="00A2EA1B">
      <w:pPr>
        <w:pStyle w:val="3"/>
        <w:rPr>
          <w:color w:val="auto"/>
        </w:rPr>
      </w:pPr>
    </w:p>
    <w:p w14:paraId="7E9807E8">
      <w:pPr>
        <w:pStyle w:val="3"/>
        <w:rPr>
          <w:color w:val="auto"/>
        </w:rPr>
      </w:pPr>
    </w:p>
    <w:p w14:paraId="51AED3D7">
      <w:pPr>
        <w:pStyle w:val="3"/>
        <w:rPr>
          <w:color w:val="auto"/>
        </w:rPr>
      </w:pPr>
    </w:p>
    <w:p w14:paraId="14B4DE54">
      <w:pPr>
        <w:pStyle w:val="3"/>
        <w:rPr>
          <w:color w:val="auto"/>
        </w:rPr>
      </w:pPr>
    </w:p>
    <w:p w14:paraId="0E353245">
      <w:pPr>
        <w:pStyle w:val="3"/>
        <w:rPr>
          <w:color w:val="auto"/>
        </w:rPr>
      </w:pPr>
    </w:p>
    <w:p w14:paraId="64736D32">
      <w:pPr>
        <w:jc w:val="center"/>
        <w:rPr>
          <w:rFonts w:ascii="宋体" w:hAnsi="宋体"/>
          <w:b/>
          <w:color w:val="auto"/>
          <w:kern w:val="28"/>
          <w:sz w:val="44"/>
          <w:szCs w:val="36"/>
          <w:highlight w:val="none"/>
        </w:rPr>
      </w:pPr>
      <w:r>
        <w:rPr>
          <w:rFonts w:hint="eastAsia" w:ascii="宋体" w:hAnsi="宋体"/>
          <w:b/>
          <w:color w:val="auto"/>
          <w:kern w:val="28"/>
          <w:sz w:val="44"/>
          <w:szCs w:val="36"/>
          <w:highlight w:val="none"/>
        </w:rPr>
        <w:t>采购</w:t>
      </w:r>
      <w:r>
        <w:rPr>
          <w:rFonts w:ascii="宋体" w:hAnsi="宋体"/>
          <w:b/>
          <w:color w:val="auto"/>
          <w:kern w:val="28"/>
          <w:sz w:val="44"/>
          <w:szCs w:val="36"/>
          <w:highlight w:val="none"/>
        </w:rPr>
        <w:t>需求书</w:t>
      </w:r>
    </w:p>
    <w:p w14:paraId="473BDE74">
      <w:pPr>
        <w:numPr>
          <w:ilvl w:val="0"/>
          <w:numId w:val="4"/>
        </w:numPr>
        <w:spacing w:line="440" w:lineRule="exact"/>
        <w:ind w:left="420" w:leftChars="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总则：</w:t>
      </w:r>
    </w:p>
    <w:p w14:paraId="4FA15226">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05362288">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采购需求</w:t>
      </w:r>
      <w:r>
        <w:rPr>
          <w:rFonts w:hint="eastAsia" w:ascii="仿宋" w:hAnsi="仿宋" w:eastAsia="仿宋" w:cs="仿宋"/>
          <w:color w:val="auto"/>
          <w:sz w:val="24"/>
          <w:highlight w:val="none"/>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1E37AB41">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.★投标供应商应该符合《医疗器械经营质量管理规范》和《医疗器械监督管理条例》规定，并结合本项目特性提供有效的医疗器械产品注册/备案证明材料和投标供应商的经营许可/备案证明材料。</w:t>
      </w:r>
    </w:p>
    <w:p w14:paraId="43E9703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.本文的“质保期”是指中标标的物经约定的验收机构完成验收之日起算，截止中标人承诺的期限。</w:t>
      </w:r>
    </w:p>
    <w:p w14:paraId="61182DB3">
      <w:pPr>
        <w:pStyle w:val="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yellow"/>
          <w:lang w:val="en-US" w:eastAsia="zh-CN"/>
        </w:rPr>
        <w:t>本项目非专门面向中小微企业。按照《广东省政府采购促进中小企业发展实施细则》规定，本项目属于预留采购份额无法确保充分供应、充分竞争，或者存在可能影响政府采购目标实现的情形。</w:t>
      </w:r>
      <w:r>
        <w:rPr>
          <w:rFonts w:hint="eastAsia" w:ascii="仿宋" w:hAnsi="仿宋" w:eastAsia="仿宋" w:cs="仿宋"/>
          <w:color w:val="FF0000"/>
          <w:sz w:val="24"/>
          <w:highlight w:val="yellow"/>
          <w:lang w:val="en-US" w:eastAsia="zh-CN"/>
        </w:rPr>
        <w:t>采购标的对应的中小企业划分标准所属行业为:其他未列明行业</w:t>
      </w:r>
      <w:r>
        <w:rPr>
          <w:rFonts w:hint="eastAsia" w:ascii="仿宋" w:hAnsi="仿宋" w:eastAsia="仿宋" w:cs="仿宋"/>
          <w:color w:val="auto"/>
          <w:sz w:val="24"/>
          <w:highlight w:val="yellow"/>
          <w:lang w:val="en-US" w:eastAsia="zh-CN"/>
        </w:rPr>
        <w:t>。</w:t>
      </w:r>
    </w:p>
    <w:p w14:paraId="63668740">
      <w:pPr>
        <w:numPr>
          <w:ilvl w:val="0"/>
          <w:numId w:val="4"/>
        </w:numPr>
        <w:spacing w:line="440" w:lineRule="exact"/>
        <w:ind w:left="420" w:leftChars="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基本需求</w:t>
      </w:r>
    </w:p>
    <w:tbl>
      <w:tblPr>
        <w:tblStyle w:val="1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692"/>
        <w:gridCol w:w="1379"/>
        <w:gridCol w:w="1768"/>
        <w:gridCol w:w="1768"/>
      </w:tblGrid>
      <w:tr w14:paraId="71DE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13" w:type="dxa"/>
          </w:tcPr>
          <w:p w14:paraId="5EE2A008">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692" w:type="dxa"/>
          </w:tcPr>
          <w:p w14:paraId="3F87B1E2">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设备型号</w:t>
            </w:r>
          </w:p>
        </w:tc>
        <w:tc>
          <w:tcPr>
            <w:tcW w:w="1379" w:type="dxa"/>
            <w:vAlign w:val="top"/>
          </w:tcPr>
          <w:p w14:paraId="79D3F613">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需求科室/部门</w:t>
            </w:r>
          </w:p>
        </w:tc>
        <w:tc>
          <w:tcPr>
            <w:tcW w:w="1768" w:type="dxa"/>
            <w:vAlign w:val="top"/>
          </w:tcPr>
          <w:p w14:paraId="100CDEA6">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维保期限</w:t>
            </w:r>
          </w:p>
        </w:tc>
        <w:tc>
          <w:tcPr>
            <w:tcW w:w="1768" w:type="dxa"/>
            <w:vAlign w:val="top"/>
          </w:tcPr>
          <w:p w14:paraId="38280735">
            <w:pPr>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装机年份</w:t>
            </w:r>
          </w:p>
        </w:tc>
      </w:tr>
      <w:tr w14:paraId="1423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3" w:type="dxa"/>
          </w:tcPr>
          <w:p w14:paraId="09EBC778">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GE</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eastAsia="zh-CN"/>
              </w:rPr>
              <w:t>64排螺旋CT</w:t>
            </w:r>
            <w:r>
              <w:rPr>
                <w:rFonts w:hint="eastAsia" w:ascii="仿宋" w:hAnsi="仿宋" w:eastAsia="仿宋" w:cs="仿宋"/>
                <w:color w:val="auto"/>
                <w:sz w:val="24"/>
                <w:highlight w:val="none"/>
                <w:lang w:val="en-US" w:eastAsia="zh-CN"/>
              </w:rPr>
              <w:t>整机全保</w:t>
            </w:r>
          </w:p>
        </w:tc>
        <w:tc>
          <w:tcPr>
            <w:tcW w:w="1692" w:type="dxa"/>
          </w:tcPr>
          <w:p w14:paraId="39E3B332">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Optima CT680 Expert</w:t>
            </w:r>
          </w:p>
        </w:tc>
        <w:tc>
          <w:tcPr>
            <w:tcW w:w="1379" w:type="dxa"/>
            <w:vAlign w:val="top"/>
          </w:tcPr>
          <w:p w14:paraId="62D0F948">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医学影像科</w:t>
            </w:r>
          </w:p>
        </w:tc>
        <w:tc>
          <w:tcPr>
            <w:tcW w:w="1768" w:type="dxa"/>
            <w:vAlign w:val="top"/>
          </w:tcPr>
          <w:p w14:paraId="38B2FFCD">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自签订合同起3年</w:t>
            </w:r>
          </w:p>
        </w:tc>
        <w:tc>
          <w:tcPr>
            <w:tcW w:w="1768" w:type="dxa"/>
            <w:vAlign w:val="top"/>
          </w:tcPr>
          <w:p w14:paraId="1D271142">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2021年12月17日</w:t>
            </w:r>
          </w:p>
        </w:tc>
      </w:tr>
    </w:tbl>
    <w:p w14:paraId="5EB2F868">
      <w:pPr>
        <w:numPr>
          <w:ilvl w:val="0"/>
          <w:numId w:val="0"/>
        </w:numPr>
        <w:spacing w:line="440" w:lineRule="exact"/>
        <w:ind w:left="420" w:leftChars="0"/>
        <w:rPr>
          <w:rFonts w:ascii="仿宋" w:hAnsi="仿宋" w:eastAsia="仿宋" w:cs="仿宋"/>
          <w:b/>
          <w:color w:val="auto"/>
          <w:sz w:val="24"/>
          <w:highlight w:val="none"/>
        </w:rPr>
      </w:pPr>
    </w:p>
    <w:p w14:paraId="487759DE">
      <w:pPr>
        <w:numPr>
          <w:ilvl w:val="0"/>
          <w:numId w:val="4"/>
        </w:numPr>
        <w:spacing w:line="440" w:lineRule="exact"/>
        <w:ind w:left="420" w:leftChars="0" w:firstLineChars="0"/>
        <w:rPr>
          <w:rFonts w:ascii="仿宋" w:hAnsi="仿宋" w:eastAsia="仿宋" w:cs="仿宋"/>
          <w:b/>
          <w:color w:val="auto"/>
          <w:sz w:val="24"/>
          <w:highlight w:val="none"/>
        </w:rPr>
      </w:pPr>
      <w:r>
        <w:rPr>
          <w:rFonts w:hint="eastAsia" w:ascii="仿宋" w:hAnsi="仿宋" w:eastAsia="仿宋" w:cs="仿宋"/>
          <w:b/>
          <w:color w:val="auto"/>
          <w:sz w:val="24"/>
          <w:highlight w:val="none"/>
        </w:rPr>
        <w:t>技术参数：</w:t>
      </w:r>
    </w:p>
    <w:p w14:paraId="55F9C390">
      <w:pPr>
        <w:widowControl w:val="0"/>
        <w:numPr>
          <w:ilvl w:val="0"/>
          <w:numId w:val="5"/>
        </w:numPr>
        <w:spacing w:line="44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zh-CN"/>
        </w:rPr>
        <w:t>设备型号：</w:t>
      </w:r>
      <w:r>
        <w:rPr>
          <w:rFonts w:hint="eastAsia" w:ascii="仿宋" w:hAnsi="仿宋" w:eastAsia="仿宋" w:cs="仿宋"/>
          <w:color w:val="auto"/>
          <w:sz w:val="24"/>
          <w:szCs w:val="24"/>
          <w:highlight w:val="none"/>
          <w:lang w:val="en-US" w:eastAsia="zh-CN"/>
        </w:rPr>
        <w:t>Optima CT680 Expert</w:t>
      </w:r>
    </w:p>
    <w:p w14:paraId="242B06E2">
      <w:pPr>
        <w:widowControl w:val="0"/>
        <w:numPr>
          <w:ilvl w:val="0"/>
          <w:numId w:val="5"/>
        </w:numPr>
        <w:spacing w:line="44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lang w:val="zh-CN"/>
        </w:rPr>
        <w:t>★保修周期：</w:t>
      </w:r>
      <w:r>
        <w:rPr>
          <w:rFonts w:hint="eastAsia" w:ascii="仿宋" w:hAnsi="仿宋" w:eastAsia="仿宋" w:cs="仿宋"/>
          <w:color w:val="auto"/>
          <w:sz w:val="24"/>
          <w:szCs w:val="24"/>
          <w:highlight w:val="none"/>
          <w:lang w:val="en-US" w:eastAsia="zh-CN"/>
        </w:rPr>
        <w:t>自签订合同起3年</w:t>
      </w:r>
    </w:p>
    <w:p w14:paraId="019CAAA1">
      <w:pPr>
        <w:widowControl w:val="0"/>
        <w:numPr>
          <w:ilvl w:val="0"/>
          <w:numId w:val="5"/>
        </w:numPr>
        <w:spacing w:line="44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lang w:val="zh-CN"/>
        </w:rPr>
        <w:t>★</w:t>
      </w:r>
      <w:r>
        <w:rPr>
          <w:rFonts w:hint="eastAsia" w:ascii="仿宋" w:hAnsi="仿宋" w:eastAsia="仿宋" w:cs="仿宋"/>
          <w:b/>
          <w:bCs/>
          <w:color w:val="000000"/>
          <w:sz w:val="24"/>
          <w:szCs w:val="24"/>
          <w:lang w:val="zh-CN"/>
        </w:rPr>
        <w:t>保修内容和要求</w:t>
      </w:r>
    </w:p>
    <w:p w14:paraId="03636AA8">
      <w:pPr>
        <w:pStyle w:val="13"/>
        <w:numPr>
          <w:ilvl w:val="1"/>
          <w:numId w:val="6"/>
        </w:numPr>
        <w:spacing w:line="360" w:lineRule="exact"/>
        <w:ind w:left="567" w:leftChars="0" w:firstLine="0" w:firstLineChars="0"/>
        <w:jc w:val="left"/>
        <w:rPr>
          <w:rFonts w:hint="eastAsia" w:ascii="仿宋" w:hAnsi="仿宋" w:eastAsia="仿宋" w:cs="仿宋"/>
          <w:color w:val="000000"/>
          <w:sz w:val="24"/>
          <w:szCs w:val="24"/>
          <w:lang w:val="zh-CN"/>
        </w:rPr>
      </w:pPr>
      <w:r>
        <w:rPr>
          <w:rFonts w:hint="eastAsia" w:ascii="仿宋" w:hAnsi="仿宋" w:eastAsia="仿宋" w:cs="仿宋"/>
          <w:bCs/>
          <w:sz w:val="24"/>
          <w:szCs w:val="24"/>
        </w:rPr>
        <w:t>整机全保包含所有人工及维修所需备件、球管、探测器</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整机主机、</w:t>
      </w:r>
      <w:r>
        <w:rPr>
          <w:rFonts w:hint="eastAsia" w:ascii="仿宋" w:hAnsi="仿宋" w:eastAsia="仿宋" w:cs="仿宋"/>
          <w:bCs/>
          <w:color w:val="0000FF"/>
          <w:sz w:val="24"/>
          <w:szCs w:val="24"/>
        </w:rPr>
        <w:t>AW</w:t>
      </w:r>
      <w:r>
        <w:rPr>
          <w:rFonts w:hint="eastAsia" w:ascii="仿宋" w:hAnsi="仿宋" w:eastAsia="仿宋" w:cs="仿宋"/>
          <w:bCs/>
          <w:color w:val="0000FF"/>
          <w:sz w:val="24"/>
          <w:szCs w:val="24"/>
          <w:lang w:val="en-US" w:eastAsia="zh-CN"/>
        </w:rPr>
        <w:t>4.7</w:t>
      </w:r>
      <w:r>
        <w:rPr>
          <w:rFonts w:hint="eastAsia" w:ascii="仿宋" w:hAnsi="仿宋" w:eastAsia="仿宋" w:cs="仿宋"/>
          <w:bCs/>
          <w:color w:val="0000FF"/>
          <w:sz w:val="24"/>
          <w:szCs w:val="24"/>
        </w:rPr>
        <w:t>工作站</w:t>
      </w:r>
      <w:r>
        <w:rPr>
          <w:rFonts w:hint="eastAsia" w:ascii="仿宋" w:hAnsi="仿宋" w:eastAsia="仿宋" w:cs="仿宋"/>
          <w:bCs/>
          <w:sz w:val="24"/>
          <w:szCs w:val="24"/>
        </w:rPr>
        <w:t>一台以及</w:t>
      </w:r>
      <w:r>
        <w:rPr>
          <w:rFonts w:hint="eastAsia" w:ascii="仿宋" w:hAnsi="仿宋" w:eastAsia="仿宋" w:cs="仿宋"/>
          <w:color w:val="0000FF"/>
          <w:sz w:val="24"/>
          <w:szCs w:val="24"/>
          <w:lang w:val="en-US" w:eastAsia="zh-CN"/>
        </w:rPr>
        <w:t>第三方</w:t>
      </w:r>
      <w:r>
        <w:rPr>
          <w:rFonts w:hint="eastAsia" w:ascii="仿宋" w:hAnsi="仿宋" w:eastAsia="仿宋" w:cs="仿宋"/>
          <w:color w:val="000000"/>
          <w:sz w:val="24"/>
          <w:szCs w:val="24"/>
        </w:rPr>
        <w:t>高压注射器</w:t>
      </w:r>
      <w:r>
        <w:rPr>
          <w:rFonts w:hint="eastAsia" w:ascii="仿宋" w:hAnsi="仿宋" w:eastAsia="仿宋" w:cs="仿宋"/>
          <w:bCs/>
          <w:sz w:val="24"/>
          <w:szCs w:val="24"/>
        </w:rPr>
        <w:t>。包含定期维护保养服务、设备的安全检查、影像质量检查、设备除尘保养、运行状态检查。</w:t>
      </w:r>
    </w:p>
    <w:p w14:paraId="2379C719">
      <w:pPr>
        <w:pStyle w:val="13"/>
        <w:numPr>
          <w:ilvl w:val="1"/>
          <w:numId w:val="6"/>
        </w:numPr>
        <w:spacing w:line="360" w:lineRule="exact"/>
        <w:ind w:left="567" w:leftChars="0" w:firstLine="0" w:firstLineChars="0"/>
        <w:jc w:val="lef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7X24小时故障响应，</w:t>
      </w:r>
      <w:r>
        <w:rPr>
          <w:rFonts w:hint="eastAsia" w:ascii="仿宋" w:hAnsi="仿宋" w:eastAsia="仿宋" w:cs="仿宋"/>
          <w:color w:val="000000"/>
          <w:sz w:val="24"/>
          <w:szCs w:val="24"/>
          <w:lang w:val="en-US" w:eastAsia="zh-CN"/>
        </w:rPr>
        <w:t>工程师24</w:t>
      </w:r>
      <w:r>
        <w:rPr>
          <w:rFonts w:hint="eastAsia" w:ascii="仿宋" w:hAnsi="仿宋" w:eastAsia="仿宋" w:cs="仿宋"/>
          <w:color w:val="000000"/>
          <w:sz w:val="24"/>
          <w:szCs w:val="24"/>
          <w:lang w:val="zh-CN"/>
        </w:rPr>
        <w:t>小时内到达故障现场。</w:t>
      </w:r>
    </w:p>
    <w:p w14:paraId="65A383C4">
      <w:pPr>
        <w:pStyle w:val="13"/>
        <w:numPr>
          <w:ilvl w:val="1"/>
          <w:numId w:val="6"/>
        </w:numPr>
        <w:spacing w:line="360" w:lineRule="exact"/>
        <w:ind w:left="567" w:leftChars="0" w:firstLine="0" w:firstLineChars="0"/>
        <w:jc w:val="left"/>
        <w:rPr>
          <w:rFonts w:hint="eastAsia" w:ascii="仿宋" w:hAnsi="仿宋" w:eastAsia="仿宋" w:cs="仿宋"/>
          <w:bCs/>
          <w:color w:val="FF0000"/>
          <w:sz w:val="24"/>
          <w:szCs w:val="24"/>
        </w:rPr>
      </w:pPr>
      <w:r>
        <w:rPr>
          <w:rFonts w:hint="eastAsia" w:ascii="仿宋" w:hAnsi="仿宋" w:eastAsia="仿宋" w:cs="仿宋"/>
          <w:color w:val="000000"/>
          <w:sz w:val="24"/>
          <w:szCs w:val="24"/>
          <w:lang w:val="zh-CN"/>
        </w:rPr>
        <w:t xml:space="preserve"> 开机率：在合同期内保证 95%的开机率（按一年365个日历日计算），每次故障时间不大于1天，一年故障时间不大于</w:t>
      </w: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lang w:val="zh-CN"/>
        </w:rPr>
        <w:t>天。</w:t>
      </w:r>
      <w:r>
        <w:rPr>
          <w:rFonts w:hint="eastAsia" w:ascii="仿宋" w:hAnsi="仿宋" w:eastAsia="仿宋" w:cs="仿宋"/>
          <w:color w:val="000000"/>
          <w:sz w:val="24"/>
          <w:szCs w:val="24"/>
        </w:rPr>
        <w:t>达不到开机保证率的情况下</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停机一天</w:t>
      </w:r>
      <w:r>
        <w:rPr>
          <w:rFonts w:hint="eastAsia" w:ascii="仿宋" w:hAnsi="仿宋" w:eastAsia="仿宋" w:cs="仿宋"/>
          <w:color w:val="0000FF"/>
          <w:sz w:val="24"/>
          <w:szCs w:val="24"/>
        </w:rPr>
        <w:t>顺延</w:t>
      </w:r>
      <w:r>
        <w:rPr>
          <w:rFonts w:hint="eastAsia" w:ascii="仿宋" w:hAnsi="仿宋" w:eastAsia="仿宋" w:cs="仿宋"/>
          <w:color w:val="0000FF"/>
          <w:sz w:val="24"/>
          <w:szCs w:val="24"/>
          <w:lang w:val="en-US" w:eastAsia="zh-CN"/>
        </w:rPr>
        <w:t>10</w:t>
      </w:r>
      <w:r>
        <w:rPr>
          <w:rFonts w:hint="eastAsia" w:ascii="仿宋" w:hAnsi="仿宋" w:eastAsia="仿宋" w:cs="仿宋"/>
          <w:color w:val="0000FF"/>
          <w:sz w:val="24"/>
          <w:szCs w:val="24"/>
        </w:rPr>
        <w:t>天</w:t>
      </w:r>
      <w:r>
        <w:rPr>
          <w:rFonts w:hint="eastAsia" w:ascii="仿宋" w:hAnsi="仿宋" w:eastAsia="仿宋" w:cs="仿宋"/>
          <w:color w:val="000000"/>
          <w:sz w:val="24"/>
          <w:szCs w:val="24"/>
        </w:rPr>
        <w:t>。</w:t>
      </w:r>
    </w:p>
    <w:p w14:paraId="3EBAF7D1">
      <w:pPr>
        <w:pStyle w:val="13"/>
        <w:numPr>
          <w:ilvl w:val="1"/>
          <w:numId w:val="6"/>
        </w:numPr>
        <w:spacing w:line="360" w:lineRule="exact"/>
        <w:ind w:left="567" w:leftChars="0" w:firstLine="0" w:firstLineChars="0"/>
        <w:jc w:val="left"/>
        <w:rPr>
          <w:rFonts w:hint="eastAsia" w:ascii="仿宋" w:hAnsi="仿宋" w:eastAsia="仿宋" w:cs="仿宋"/>
          <w:bCs/>
          <w:sz w:val="24"/>
          <w:szCs w:val="24"/>
        </w:rPr>
      </w:pPr>
      <w:r>
        <w:rPr>
          <w:rFonts w:hint="eastAsia" w:ascii="仿宋" w:hAnsi="仿宋" w:eastAsia="仿宋" w:cs="仿宋"/>
          <w:color w:val="000000"/>
          <w:sz w:val="24"/>
          <w:szCs w:val="24"/>
          <w:lang w:val="zh-CN"/>
        </w:rPr>
        <w:t>每季度定期进行设备保养至少1次。</w:t>
      </w:r>
      <w:r>
        <w:rPr>
          <w:rFonts w:hint="eastAsia" w:ascii="仿宋" w:hAnsi="仿宋" w:eastAsia="仿宋" w:cs="仿宋"/>
          <w:color w:val="0000FF"/>
          <w:sz w:val="24"/>
          <w:szCs w:val="24"/>
          <w:lang w:val="en-US" w:eastAsia="zh-CN"/>
        </w:rPr>
        <w:t>不限维修次数。</w:t>
      </w:r>
      <w:r>
        <w:rPr>
          <w:rFonts w:hint="eastAsia" w:ascii="仿宋" w:hAnsi="仿宋" w:eastAsia="仿宋" w:cs="仿宋"/>
          <w:color w:val="000000"/>
          <w:sz w:val="24"/>
          <w:szCs w:val="24"/>
        </w:rPr>
        <w:t>定期保养：中标供应商提供三年原厂标准定期维护</w:t>
      </w:r>
      <w:r>
        <w:rPr>
          <w:rFonts w:hint="eastAsia" w:ascii="仿宋" w:hAnsi="仿宋" w:eastAsia="仿宋" w:cs="仿宋"/>
          <w:sz w:val="24"/>
          <w:szCs w:val="24"/>
        </w:rPr>
        <w:t>，每年≥4次，</w:t>
      </w:r>
      <w:r>
        <w:rPr>
          <w:rFonts w:hint="eastAsia" w:ascii="仿宋" w:hAnsi="仿宋" w:eastAsia="仿宋" w:cs="仿宋"/>
          <w:color w:val="000000"/>
          <w:sz w:val="24"/>
          <w:szCs w:val="24"/>
        </w:rPr>
        <w:t>中标供应商工程师向甲方提供</w:t>
      </w:r>
      <w:r>
        <w:rPr>
          <w:rFonts w:hint="eastAsia" w:ascii="仿宋" w:hAnsi="仿宋" w:eastAsia="仿宋" w:cs="仿宋"/>
          <w:bCs/>
          <w:sz w:val="24"/>
          <w:szCs w:val="24"/>
        </w:rPr>
        <w:t>详细的维保服务方案，</w:t>
      </w:r>
      <w:r>
        <w:rPr>
          <w:rFonts w:hint="eastAsia" w:ascii="仿宋" w:hAnsi="仿宋" w:eastAsia="仿宋" w:cs="仿宋"/>
          <w:color w:val="000000"/>
          <w:sz w:val="24"/>
          <w:szCs w:val="24"/>
        </w:rPr>
        <w:t>提供一份计划性的定期维护报告。定期维护服务检测包括机器清洁、性能测试及校准、必要的机械或电气的检查，以及非紧急性质的预防性维护，和确保系统能按照制造商的产品规格运行的</w:t>
      </w:r>
      <w:r>
        <w:rPr>
          <w:rFonts w:hint="eastAsia" w:ascii="仿宋" w:hAnsi="仿宋" w:eastAsia="仿宋" w:cs="仿宋"/>
          <w:sz w:val="24"/>
          <w:szCs w:val="24"/>
        </w:rPr>
        <w:t>其他维护。</w:t>
      </w:r>
      <w:r>
        <w:rPr>
          <w:rFonts w:hint="eastAsia" w:ascii="仿宋" w:hAnsi="仿宋" w:eastAsia="仿宋" w:cs="仿宋"/>
          <w:bCs/>
          <w:sz w:val="24"/>
          <w:szCs w:val="24"/>
        </w:rPr>
        <w:t>定期维护服务间隔进行，具体内容包括：（1）系统基本情况检查;（2）图像质量检查;（3）球管使用情况检查;（4）重建系统检查;（5）滑环通讯检查;（6）软件等等；</w:t>
      </w:r>
    </w:p>
    <w:p w14:paraId="16B12B84">
      <w:pPr>
        <w:pStyle w:val="13"/>
        <w:numPr>
          <w:ilvl w:val="1"/>
          <w:numId w:val="6"/>
        </w:numPr>
        <w:spacing w:line="360" w:lineRule="exact"/>
        <w:ind w:left="567"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Cs/>
          <w:sz w:val="24"/>
          <w:szCs w:val="24"/>
        </w:rPr>
        <w:t>每年提供一次</w:t>
      </w:r>
      <w:r>
        <w:rPr>
          <w:rFonts w:hint="eastAsia" w:ascii="仿宋" w:hAnsi="仿宋" w:eastAsia="仿宋" w:cs="仿宋"/>
          <w:bCs/>
          <w:color w:val="0000FF"/>
          <w:sz w:val="24"/>
          <w:szCs w:val="24"/>
          <w:lang w:val="en-US" w:eastAsia="zh-CN"/>
        </w:rPr>
        <w:t>CT设备的</w:t>
      </w:r>
      <w:r>
        <w:rPr>
          <w:rFonts w:hint="eastAsia" w:ascii="仿宋" w:hAnsi="仿宋" w:eastAsia="仿宋" w:cs="仿宋"/>
          <w:bCs/>
          <w:sz w:val="24"/>
          <w:szCs w:val="24"/>
        </w:rPr>
        <w:t>临床应用培训。</w:t>
      </w:r>
    </w:p>
    <w:p w14:paraId="5541F85E">
      <w:pPr>
        <w:numPr>
          <w:ilvl w:val="0"/>
          <w:numId w:val="6"/>
        </w:numPr>
        <w:spacing w:line="360" w:lineRule="auto"/>
        <w:ind w:left="425" w:leftChars="0" w:hanging="425" w:firstLineChars="0"/>
        <w:rPr>
          <w:rFonts w:hint="eastAsia" w:ascii="仿宋" w:hAnsi="仿宋" w:eastAsia="仿宋" w:cs="仿宋"/>
          <w:bCs/>
          <w:kern w:val="2"/>
          <w:sz w:val="24"/>
          <w:szCs w:val="24"/>
          <w:lang w:val="en-US" w:eastAsia="zh-CN" w:bidi="ar-SA"/>
        </w:rPr>
      </w:pPr>
      <w:r>
        <w:rPr>
          <w:rFonts w:hint="eastAsia" w:ascii="仿宋" w:hAnsi="仿宋" w:eastAsia="仿宋" w:cs="仿宋"/>
          <w:color w:val="000000"/>
          <w:sz w:val="24"/>
          <w:szCs w:val="24"/>
          <w:lang w:val="zh-CN"/>
        </w:rPr>
        <w:t>★</w:t>
      </w:r>
      <w:r>
        <w:rPr>
          <w:rFonts w:hint="eastAsia" w:ascii="仿宋" w:hAnsi="仿宋" w:eastAsia="仿宋" w:cs="仿宋"/>
          <w:bCs/>
          <w:kern w:val="2"/>
          <w:sz w:val="24"/>
          <w:szCs w:val="24"/>
          <w:lang w:val="en-US" w:eastAsia="zh-CN" w:bidi="ar-SA"/>
        </w:rPr>
        <w:t>热线服务：</w:t>
      </w:r>
    </w:p>
    <w:p w14:paraId="485AB76D">
      <w:pPr>
        <w:numPr>
          <w:ilvl w:val="1"/>
          <w:numId w:val="7"/>
        </w:numPr>
        <w:spacing w:line="360" w:lineRule="auto"/>
        <w:ind w:left="587" w:leftChars="0" w:hanging="56" w:firstLine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全国范围内开通400/800免费热线电话，24小时*365天有工程师接听，为采购人提供技术支持服务。</w:t>
      </w:r>
    </w:p>
    <w:p w14:paraId="09393115">
      <w:pPr>
        <w:numPr>
          <w:ilvl w:val="1"/>
          <w:numId w:val="7"/>
        </w:numPr>
        <w:spacing w:line="360" w:lineRule="auto"/>
        <w:ind w:left="587" w:leftChars="0" w:hanging="56" w:firstLine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电话响应：1小时内。</w:t>
      </w:r>
    </w:p>
    <w:p w14:paraId="009FFE66">
      <w:pPr>
        <w:numPr>
          <w:ilvl w:val="1"/>
          <w:numId w:val="7"/>
        </w:numPr>
        <w:spacing w:line="360" w:lineRule="auto"/>
        <w:ind w:left="587" w:leftChars="0" w:hanging="56" w:firstLine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接到维修要求后，不超过24小时到达现场。</w:t>
      </w:r>
    </w:p>
    <w:p w14:paraId="6254417B">
      <w:pPr>
        <w:pStyle w:val="19"/>
        <w:numPr>
          <w:ilvl w:val="0"/>
          <w:numId w:val="7"/>
        </w:numPr>
        <w:ind w:left="425" w:leftChars="0" w:hanging="425" w:firstLineChars="0"/>
        <w:rPr>
          <w:rFonts w:hint="eastAsia" w:ascii="仿宋" w:hAnsi="仿宋" w:eastAsia="仿宋" w:cs="仿宋"/>
          <w:bCs/>
          <w:kern w:val="2"/>
          <w:sz w:val="24"/>
          <w:szCs w:val="24"/>
          <w:lang w:val="en-US" w:eastAsia="zh-CN" w:bidi="ar-SA"/>
        </w:rPr>
      </w:pPr>
      <w:r>
        <w:rPr>
          <w:rFonts w:hint="eastAsia" w:ascii="仿宋" w:hAnsi="仿宋" w:eastAsia="仿宋" w:cs="仿宋"/>
          <w:color w:val="000000"/>
          <w:sz w:val="24"/>
          <w:szCs w:val="24"/>
        </w:rPr>
        <w:t>工时：包含在保修合同期内所需的人工费用，签订保修合同的客户享受优先派工，节假日加班费用由中标人负责，采购人不另外支付加班费用。</w:t>
      </w:r>
    </w:p>
    <w:p w14:paraId="7BDEB70B">
      <w:pPr>
        <w:numPr>
          <w:ilvl w:val="0"/>
          <w:numId w:val="0"/>
        </w:numPr>
        <w:spacing w:line="360" w:lineRule="auto"/>
        <w:ind w:leftChars="0" w:firstLine="420" w:firstLineChars="0"/>
        <w:rPr>
          <w:rFonts w:hint="eastAsia" w:ascii="仿宋" w:hAnsi="仿宋" w:eastAsia="仿宋" w:cs="仿宋"/>
          <w:color w:val="000000" w:themeColor="text1"/>
          <w:sz w:val="24"/>
          <w:lang w:val="en-US" w:eastAsia="zh-CN"/>
        </w:rPr>
      </w:pPr>
      <w:r>
        <w:rPr>
          <w:rFonts w:hint="eastAsia" w:ascii="仿宋" w:hAnsi="仿宋" w:eastAsia="仿宋" w:cs="仿宋"/>
          <w:color w:val="000000"/>
          <w:sz w:val="24"/>
          <w:szCs w:val="24"/>
        </w:rPr>
        <w:t>备件：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1)</w:t>
      </w:r>
      <w:r>
        <w:rPr>
          <w:rFonts w:hint="eastAsia" w:ascii="仿宋" w:hAnsi="仿宋" w:eastAsia="仿宋" w:cs="仿宋"/>
          <w:color w:val="auto"/>
          <w:spacing w:val="12"/>
          <w:sz w:val="24"/>
          <w:szCs w:val="24"/>
          <w:highlight w:val="none"/>
        </w:rPr>
        <w:t>▲</w:t>
      </w:r>
      <w:r>
        <w:rPr>
          <w:rFonts w:hint="eastAsia" w:ascii="仿宋" w:hAnsi="仿宋" w:eastAsia="仿宋" w:cs="仿宋"/>
          <w:color w:val="000000"/>
          <w:sz w:val="24"/>
          <w:szCs w:val="24"/>
        </w:rPr>
        <w:t>备件必须是原厂认证合格的零备件，</w:t>
      </w:r>
      <w:r>
        <w:rPr>
          <w:rFonts w:hint="eastAsia" w:ascii="仿宋" w:hAnsi="仿宋" w:eastAsia="仿宋" w:cs="仿宋"/>
          <w:color w:val="000000"/>
          <w:sz w:val="24"/>
          <w:szCs w:val="24"/>
          <w:lang w:val="en-US" w:eastAsia="zh-CN"/>
        </w:rPr>
        <w:t>保证</w:t>
      </w:r>
      <w:r>
        <w:rPr>
          <w:rFonts w:hint="eastAsia" w:ascii="仿宋" w:hAnsi="仿宋" w:eastAsia="仿宋" w:cs="仿宋"/>
          <w:color w:val="000000"/>
          <w:sz w:val="24"/>
          <w:szCs w:val="24"/>
        </w:rPr>
        <w:t>不会对设备质量或图像产生不良影响。</w:t>
      </w:r>
      <w:r>
        <w:rPr>
          <w:rFonts w:hint="eastAsia" w:ascii="仿宋" w:hAnsi="仿宋" w:eastAsia="仿宋" w:cs="仿宋"/>
          <w:color w:val="000000" w:themeColor="text1"/>
          <w:sz w:val="24"/>
          <w:lang w:val="en-US" w:eastAsia="zh-CN"/>
        </w:rPr>
        <w:t>提供保修所需的备件，备件供应要及时、充足。如因提供不合法不合规或来路不明的备件而引起的相关损失及法律责任由中标人自行承担(投标文件中提供承诺函并加盖投标人公章)；</w:t>
      </w:r>
      <w:r>
        <w:rPr>
          <w:rFonts w:hint="eastAsia" w:ascii="仿宋" w:hAnsi="仿宋" w:eastAsia="仿宋" w:cs="仿宋"/>
          <w:color w:val="000000"/>
          <w:sz w:val="24"/>
        </w:rPr>
        <w:br w:type="textWrapping"/>
      </w:r>
      <w:bookmarkStart w:id="5" w:name="_GoBack"/>
      <w:bookmarkEnd w:id="5"/>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2)接采购人通知后中标供应商需安排优先运送配件。</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3）设备上更换下来的故障备件由中标人回收。</w:t>
      </w:r>
    </w:p>
    <w:p w14:paraId="68A8E194">
      <w:pPr>
        <w:pStyle w:val="19"/>
        <w:numPr>
          <w:ilvl w:val="0"/>
          <w:numId w:val="0"/>
        </w:numPr>
        <w:ind w:firstLine="480" w:firstLineChars="200"/>
        <w:rPr>
          <w:rFonts w:hint="eastAsia" w:ascii="仿宋" w:hAnsi="仿宋" w:eastAsia="仿宋" w:cs="仿宋"/>
          <w:color w:val="000000" w:themeColor="text1"/>
          <w:sz w:val="24"/>
          <w:lang w:val="en-US" w:eastAsia="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themeColor="text1"/>
          <w:sz w:val="24"/>
          <w:lang w:val="en-US" w:eastAsia="zh-CN"/>
        </w:rPr>
        <w:t>★更换该设备的主要配件时，须经过采购人确认后方可更换。</w:t>
      </w:r>
    </w:p>
    <w:p w14:paraId="77ACBB4D">
      <w:pPr>
        <w:pStyle w:val="19"/>
        <w:numPr>
          <w:ilvl w:val="0"/>
          <w:numId w:val="0"/>
        </w:numPr>
        <w:ind w:leftChars="0"/>
        <w:rPr>
          <w:rFonts w:hint="eastAsia" w:ascii="仿宋" w:hAnsi="仿宋" w:eastAsia="仿宋" w:cs="仿宋"/>
          <w:color w:val="000000"/>
          <w:sz w:val="24"/>
          <w:szCs w:val="24"/>
          <w:lang w:val="en-US" w:eastAsia="zh-CN"/>
        </w:rPr>
      </w:pPr>
    </w:p>
    <w:p w14:paraId="4D6451CC">
      <w:pPr>
        <w:numPr>
          <w:ilvl w:val="0"/>
          <w:numId w:val="7"/>
        </w:numPr>
        <w:spacing w:line="360" w:lineRule="auto"/>
        <w:ind w:left="425" w:leftChars="0" w:hanging="425" w:firstLineChars="0"/>
        <w:rPr>
          <w:rFonts w:hint="eastAsia" w:ascii="仿宋" w:hAnsi="仿宋" w:eastAsia="仿宋" w:cs="仿宋"/>
          <w:sz w:val="24"/>
          <w:szCs w:val="24"/>
        </w:rPr>
      </w:pPr>
      <w:r>
        <w:rPr>
          <w:rFonts w:hint="eastAsia" w:ascii="仿宋" w:hAnsi="仿宋" w:eastAsia="仿宋" w:cs="仿宋"/>
          <w:color w:val="auto"/>
          <w:spacing w:val="12"/>
          <w:sz w:val="24"/>
          <w:szCs w:val="24"/>
          <w:highlight w:val="none"/>
        </w:rPr>
        <w:t>▲</w:t>
      </w:r>
      <w:r>
        <w:rPr>
          <w:rFonts w:hint="eastAsia" w:ascii="仿宋" w:hAnsi="仿宋" w:eastAsia="仿宋" w:cs="仿宋"/>
          <w:bCs/>
          <w:kern w:val="2"/>
          <w:sz w:val="24"/>
          <w:szCs w:val="24"/>
          <w:lang w:val="en-US" w:eastAsia="zh-CN" w:bidi="ar-SA"/>
        </w:rPr>
        <w:t>安全升级（FCO）：必须在原厂官方网站发布的升级公告规定时间内完成，并在升级完成后提供原厂该型号设备的升级文件及工作记录。</w:t>
      </w:r>
    </w:p>
    <w:p w14:paraId="3A48E413">
      <w:pPr>
        <w:numPr>
          <w:ilvl w:val="0"/>
          <w:numId w:val="7"/>
        </w:numPr>
        <w:spacing w:line="360" w:lineRule="auto"/>
        <w:ind w:left="425" w:leftChars="0" w:hanging="425"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远程连接：投标人或授权机构需提供基于设备嵌入式远程连接方案的实时远程服务，在用户允许的情况下可以接入设备，以保证维修的及时性，且远程服务应满足以下需求：该远程服务可以实现远程不断监控和保护医疗设备，及时发出预警，在出现故障之前，就可对其进行远程维护和处理，以减少设备停机时间，提高设备使用率；基于设备嵌入式远程连接方案投标人需符合HIPAA和NEMA安全要求。</w:t>
      </w:r>
    </w:p>
    <w:p w14:paraId="321902BC">
      <w:pPr>
        <w:numPr>
          <w:ilvl w:val="0"/>
          <w:numId w:val="7"/>
        </w:numPr>
        <w:spacing w:line="360" w:lineRule="auto"/>
        <w:ind w:left="425" w:leftChars="0" w:hanging="425" w:firstLineChars="0"/>
        <w:rPr>
          <w:rFonts w:hint="eastAsia" w:ascii="仿宋" w:hAnsi="仿宋" w:eastAsia="仿宋" w:cs="仿宋"/>
          <w:bCs/>
          <w:sz w:val="24"/>
          <w:szCs w:val="24"/>
        </w:rPr>
      </w:pPr>
      <w:r>
        <w:rPr>
          <w:rFonts w:hint="eastAsia" w:ascii="仿宋" w:hAnsi="仿宋" w:eastAsia="仿宋" w:cs="仿宋"/>
          <w:color w:val="000000"/>
          <w:sz w:val="24"/>
          <w:szCs w:val="24"/>
        </w:rPr>
        <w:t xml:space="preserve"> 中标供应商工程师应配合保养计划，针对产品的外部环境、主要参数与性能做质量评估，为机器潜在的问题预测提示，以期减少机器非正常停机的风险，提高医疗设备的正常使用率，帮助医院实现高质量、低风险的医疗服务，确保最佳投资的回报率。</w:t>
      </w:r>
    </w:p>
    <w:p w14:paraId="1C3EBE61">
      <w:pPr>
        <w:numPr>
          <w:ilvl w:val="0"/>
          <w:numId w:val="7"/>
        </w:numPr>
        <w:spacing w:line="360" w:lineRule="auto"/>
        <w:ind w:left="425" w:leftChars="0" w:hanging="425" w:firstLineChars="0"/>
        <w:rPr>
          <w:rFonts w:hint="eastAsia" w:ascii="仿宋" w:hAnsi="仿宋" w:eastAsia="仿宋" w:cs="仿宋"/>
          <w:bCs/>
          <w:sz w:val="24"/>
          <w:lang w:val="en-US" w:eastAsia="zh-CN"/>
        </w:rPr>
      </w:pPr>
      <w:r>
        <w:rPr>
          <w:rFonts w:hint="eastAsia" w:ascii="仿宋" w:hAnsi="仿宋" w:eastAsia="仿宋" w:cs="仿宋"/>
          <w:bCs/>
          <w:sz w:val="24"/>
          <w:szCs w:val="24"/>
        </w:rPr>
        <w:t xml:space="preserve"> 服务报告：每次保养、维修后，中标方指定的工程师应以邮件或现场汇报的形式为采购人提供服务报告。</w:t>
      </w:r>
    </w:p>
    <w:p w14:paraId="1F9C5A5F">
      <w:pPr>
        <w:numPr>
          <w:ilvl w:val="0"/>
          <w:numId w:val="7"/>
        </w:numPr>
        <w:spacing w:line="360" w:lineRule="auto"/>
        <w:ind w:left="425" w:leftChars="0" w:hanging="425" w:firstLineChars="0"/>
        <w:rPr>
          <w:rFonts w:hint="eastAsia" w:ascii="仿宋" w:hAnsi="仿宋" w:eastAsia="仿宋" w:cs="仿宋"/>
          <w:bCs/>
          <w:sz w:val="24"/>
          <w:lang w:val="en-US" w:eastAsia="zh-CN"/>
        </w:rPr>
      </w:pPr>
      <w:r>
        <w:rPr>
          <w:rFonts w:hint="eastAsia" w:ascii="仿宋" w:hAnsi="仿宋" w:eastAsia="仿宋" w:cs="仿宋"/>
          <w:color w:val="000000"/>
          <w:kern w:val="2"/>
          <w:sz w:val="24"/>
          <w:szCs w:val="24"/>
          <w:lang w:val="en-US" w:eastAsia="zh-CN" w:bidi="ar-SA"/>
        </w:rPr>
        <w:t xml:space="preserve"> </w:t>
      </w:r>
      <w:r>
        <w:rPr>
          <w:rFonts w:hint="eastAsia" w:ascii="仿宋" w:hAnsi="仿宋" w:eastAsia="仿宋" w:cs="仿宋"/>
          <w:color w:val="000000"/>
          <w:kern w:val="2"/>
          <w:sz w:val="24"/>
          <w:szCs w:val="24"/>
          <w:lang w:val="zh-CN" w:eastAsia="zh-CN" w:bidi="ar-SA"/>
        </w:rPr>
        <w:t>★年度维保报告书：按医院“三甲”要求，每维保年度结束后一个月内提交该设备的“年度维保报告书”(一式两份、加盖公章),内容包括：年度内维修记录，保养记录，维修保养发现问题的分析、工作方法改进和安排，下一年度的维保工作计划 (按持续质量改进(PDCA)制定)等。</w:t>
      </w:r>
    </w:p>
    <w:p w14:paraId="3207301A">
      <w:pPr>
        <w:spacing w:line="440" w:lineRule="exact"/>
        <w:rPr>
          <w:rFonts w:hint="eastAsia" w:ascii="仿宋" w:hAnsi="仿宋" w:eastAsia="仿宋" w:cs="仿宋"/>
          <w:b/>
          <w:color w:val="auto"/>
          <w:sz w:val="24"/>
          <w:highlight w:val="none"/>
        </w:rPr>
      </w:pPr>
    </w:p>
    <w:p w14:paraId="156D61BD">
      <w:pPr>
        <w:numPr>
          <w:ilvl w:val="0"/>
          <w:numId w:val="4"/>
        </w:numPr>
        <w:spacing w:line="440" w:lineRule="exact"/>
        <w:ind w:left="420" w:leftChars="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商务要求：</w:t>
      </w:r>
    </w:p>
    <w:p w14:paraId="7614DEF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1、投标人或授权投标人的厂商需提供经有效年检的营业执照复印件及医疗器械经营许可证复印件。</w:t>
      </w:r>
    </w:p>
    <w:p w14:paraId="5BF3381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2、投标人或授权投标人的厂商须通过相关质量管理体系认证，并提供有效期内的质量管理认证证书复印件（须包含：ISO9001、ISO14001、ISO13485、ISO45001）。</w:t>
      </w:r>
    </w:p>
    <w:p w14:paraId="52EAE65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投标人或授权投标人的厂商在国内设有专业、充足的设备零备件仓库，须具备充足的备件，保证备件更快速的送达采购方医院现场，以最大化的缩短采购方医院设备不必要的停机时间。投标人需提供相关文件，并提供仓库租赁合同复印件或产权合同复印件供核实。</w:t>
      </w:r>
    </w:p>
    <w:p w14:paraId="0ECAC884">
      <w:pPr>
        <w:spacing w:line="360" w:lineRule="auto"/>
        <w:ind w:firstLine="528" w:firstLineChars="200"/>
        <w:rPr>
          <w:rFonts w:hint="eastAsia" w:ascii="仿宋" w:hAnsi="仿宋" w:eastAsia="仿宋" w:cs="仿宋"/>
          <w:color w:val="000000"/>
          <w:sz w:val="24"/>
        </w:rPr>
      </w:pPr>
      <w:r>
        <w:rPr>
          <w:rFonts w:hint="eastAsia" w:ascii="仿宋" w:hAnsi="仿宋" w:eastAsia="仿宋" w:cs="仿宋"/>
          <w:color w:val="auto"/>
          <w:spacing w:val="12"/>
          <w:sz w:val="24"/>
          <w:szCs w:val="24"/>
          <w:highlight w:val="none"/>
        </w:rPr>
        <w:t>▲</w:t>
      </w:r>
      <w:r>
        <w:rPr>
          <w:rFonts w:hint="eastAsia" w:ascii="仿宋" w:hAnsi="仿宋" w:eastAsia="仿宋" w:cs="仿宋"/>
          <w:color w:val="000000"/>
          <w:sz w:val="24"/>
        </w:rPr>
        <w:t>4、投标人或授权投标人的厂商所更换的零备件必须为原厂认证</w:t>
      </w:r>
      <w:r>
        <w:rPr>
          <w:rFonts w:hint="eastAsia" w:ascii="仿宋" w:hAnsi="仿宋" w:eastAsia="仿宋" w:cs="仿宋"/>
          <w:color w:val="auto"/>
          <w:sz w:val="24"/>
        </w:rPr>
        <w:t>测试合格</w:t>
      </w:r>
      <w:r>
        <w:rPr>
          <w:rFonts w:hint="eastAsia" w:ascii="仿宋" w:hAnsi="仿宋" w:eastAsia="仿宋" w:cs="仿宋"/>
          <w:color w:val="000000"/>
          <w:sz w:val="24"/>
        </w:rPr>
        <w:t>原厂原装备件，满足设备运行要求，不会给设备带来危害且备件来源合法。</w:t>
      </w:r>
      <w:bookmarkStart w:id="0" w:name="_Hlk45353106"/>
      <w:r>
        <w:rPr>
          <w:rFonts w:hint="eastAsia" w:ascii="仿宋" w:hAnsi="仿宋" w:eastAsia="仿宋" w:cs="仿宋"/>
          <w:color w:val="000000"/>
          <w:sz w:val="24"/>
        </w:rPr>
        <w:t>投标人需提供相关文件，</w:t>
      </w:r>
      <w:r>
        <w:rPr>
          <w:rFonts w:hint="eastAsia" w:ascii="仿宋" w:hAnsi="仿宋" w:eastAsia="仿宋" w:cs="仿宋"/>
          <w:color w:val="0000FF"/>
          <w:sz w:val="24"/>
        </w:rPr>
        <w:t>并提供与主机原配套球管型号一致（球管型号：D3887T）</w:t>
      </w:r>
      <w:r>
        <w:rPr>
          <w:rFonts w:hint="eastAsia" w:ascii="仿宋" w:hAnsi="仿宋" w:eastAsia="仿宋" w:cs="仿宋"/>
          <w:color w:val="000000"/>
          <w:sz w:val="24"/>
        </w:rPr>
        <w:t>的球管报关单复印件供核实</w:t>
      </w:r>
      <w:bookmarkEnd w:id="0"/>
      <w:r>
        <w:rPr>
          <w:rFonts w:hint="eastAsia" w:ascii="仿宋" w:hAnsi="仿宋" w:eastAsia="仿宋" w:cs="仿宋"/>
          <w:color w:val="000000"/>
          <w:sz w:val="24"/>
        </w:rPr>
        <w:t>。</w:t>
      </w:r>
      <w:bookmarkStart w:id="1" w:name="_Hlk44976613"/>
    </w:p>
    <w:p w14:paraId="57A9EE20">
      <w:pPr>
        <w:spacing w:line="360" w:lineRule="auto"/>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投标人或授权投标人的厂商须配备有≥5名的原厂CT工程师，须获得CT设备有效期内原厂技术培训认证的资质证明和社保证明（提供的资质证明复印件和社保证明需加盖主机厂商公章)，并提供CT工程师的姓名及联系方式供核实</w:t>
      </w:r>
      <w:bookmarkEnd w:id="1"/>
      <w:r>
        <w:rPr>
          <w:rFonts w:hint="eastAsia" w:ascii="仿宋" w:hAnsi="仿宋" w:eastAsia="仿宋" w:cs="仿宋"/>
          <w:color w:val="000000"/>
          <w:sz w:val="24"/>
          <w:lang w:eastAsia="zh-CN"/>
        </w:rPr>
        <w:t>。</w:t>
      </w:r>
    </w:p>
    <w:p w14:paraId="48007EBB">
      <w:pPr>
        <w:numPr>
          <w:ilvl w:val="0"/>
          <w:numId w:val="0"/>
        </w:numPr>
        <w:spacing w:line="360" w:lineRule="auto"/>
        <w:ind w:leftChars="0" w:firstLine="420" w:firstLineChars="0"/>
        <w:rPr>
          <w:rFonts w:hint="eastAsia" w:ascii="仿宋" w:hAnsi="仿宋" w:eastAsia="仿宋" w:cs="仿宋"/>
          <w:color w:val="auto"/>
          <w:sz w:val="24"/>
        </w:rPr>
      </w:pPr>
      <w:r>
        <w:rPr>
          <w:rFonts w:hint="eastAsia" w:ascii="仿宋" w:hAnsi="仿宋" w:eastAsia="仿宋" w:cs="仿宋"/>
          <w:color w:val="000000"/>
          <w:sz w:val="24"/>
          <w:lang w:val="en-US" w:eastAsia="zh-CN"/>
        </w:rPr>
        <w:t>6</w:t>
      </w:r>
      <w:r>
        <w:rPr>
          <w:rFonts w:hint="eastAsia" w:ascii="仿宋" w:hAnsi="仿宋" w:eastAsia="仿宋" w:cs="仿宋"/>
          <w:color w:val="000000"/>
          <w:sz w:val="24"/>
        </w:rPr>
        <w:t>、</w:t>
      </w:r>
      <w:bookmarkStart w:id="2" w:name="_Hlk45353480"/>
      <w:r>
        <w:rPr>
          <w:rFonts w:hint="eastAsia" w:ascii="仿宋" w:hAnsi="仿宋" w:eastAsia="仿宋" w:cs="仿宋"/>
          <w:sz w:val="24"/>
          <w:szCs w:val="24"/>
        </w:rPr>
        <w:t>▲</w:t>
      </w:r>
      <w:r>
        <w:rPr>
          <w:rFonts w:hint="eastAsia" w:ascii="仿宋" w:hAnsi="仿宋" w:eastAsia="仿宋" w:cs="仿宋"/>
          <w:color w:val="auto"/>
          <w:sz w:val="24"/>
          <w:szCs w:val="24"/>
        </w:rPr>
        <w:t>故障诊断：投标人必须能提供在有效期内的原厂高级故障诊断软件的诊断维修钥匙（service key）</w:t>
      </w:r>
      <w:r>
        <w:rPr>
          <w:rFonts w:hint="eastAsia" w:ascii="仿宋" w:hAnsi="仿宋" w:eastAsia="仿宋" w:cs="仿宋"/>
          <w:color w:val="auto"/>
          <w:sz w:val="24"/>
          <w:szCs w:val="24"/>
          <w:lang w:eastAsia="zh-CN"/>
        </w:rPr>
        <w:t>，</w:t>
      </w:r>
      <w:r>
        <w:rPr>
          <w:rFonts w:hint="eastAsia" w:ascii="仿宋" w:hAnsi="仿宋" w:eastAsia="仿宋" w:cs="仿宋"/>
          <w:color w:val="auto"/>
          <w:sz w:val="24"/>
        </w:rPr>
        <w:t>并保证不违反国家有关知识产权的法律规定。</w:t>
      </w:r>
      <w:r>
        <w:rPr>
          <w:rFonts w:hint="eastAsia" w:ascii="仿宋" w:hAnsi="仿宋" w:eastAsia="仿宋" w:cs="仿宋"/>
          <w:color w:val="auto"/>
          <w:sz w:val="24"/>
          <w:szCs w:val="24"/>
        </w:rPr>
        <w:t>（提供承诺函并加盖投标人公章）</w:t>
      </w:r>
    </w:p>
    <w:p w14:paraId="51E66D7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、投标人在设备入保后，需提供CT主机厂商的APM数字化远程故障筛排系统一套，能提前预警CT整机及球管的问题，帮助医院提早做计划，避免设备不必要的停机。投标人需</w:t>
      </w:r>
      <w:r>
        <w:rPr>
          <w:rFonts w:hint="eastAsia" w:ascii="仿宋" w:hAnsi="仿宋" w:eastAsia="仿宋" w:cs="仿宋"/>
          <w:color w:val="auto"/>
          <w:sz w:val="24"/>
        </w:rPr>
        <w:t>提供相关</w:t>
      </w:r>
      <w:r>
        <w:rPr>
          <w:rFonts w:hint="eastAsia" w:ascii="仿宋" w:hAnsi="仿宋" w:eastAsia="仿宋" w:cs="仿宋"/>
          <w:color w:val="auto"/>
          <w:sz w:val="24"/>
          <w:lang w:val="en-US" w:eastAsia="zh-CN"/>
        </w:rPr>
        <w:t>证明</w:t>
      </w:r>
      <w:r>
        <w:rPr>
          <w:rFonts w:hint="eastAsia" w:ascii="仿宋" w:hAnsi="仿宋" w:eastAsia="仿宋" w:cs="仿宋"/>
          <w:color w:val="auto"/>
          <w:sz w:val="24"/>
        </w:rPr>
        <w:t>文件。</w:t>
      </w:r>
      <w:bookmarkEnd w:id="2"/>
      <w:bookmarkStart w:id="3" w:name="_Hlk45353243"/>
    </w:p>
    <w:p w14:paraId="4B7ED8FB">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106" w:line="360" w:lineRule="auto"/>
        <w:ind w:firstLine="420" w:firstLineChars="0"/>
        <w:textAlignment w:val="baseline"/>
        <w:rPr>
          <w:rFonts w:hint="eastAsia" w:ascii="仿宋" w:hAnsi="仿宋" w:eastAsia="仿宋" w:cs="仿宋"/>
          <w:color w:val="auto"/>
          <w:spacing w:val="9"/>
          <w:sz w:val="24"/>
          <w:szCs w:val="24"/>
          <w:highlight w:val="none"/>
          <w:lang w:val="en-US" w:eastAsia="zh-CN"/>
        </w:rPr>
      </w:pP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、投标人须承诺有能力提供合法来源球管。承诺保修期内所提供</w:t>
      </w:r>
      <w:r>
        <w:rPr>
          <w:rFonts w:hint="eastAsia" w:ascii="仿宋" w:hAnsi="仿宋" w:eastAsia="仿宋" w:cs="仿宋"/>
          <w:color w:val="auto"/>
          <w:sz w:val="24"/>
          <w:highlight w:val="none"/>
          <w:lang w:val="en-US" w:eastAsia="zh-CN"/>
        </w:rPr>
        <w:t>Optima CT680 Expert</w:t>
      </w:r>
      <w:r>
        <w:rPr>
          <w:rFonts w:hint="eastAsia" w:ascii="仿宋" w:hAnsi="仿宋" w:eastAsia="仿宋" w:cs="仿宋"/>
          <w:color w:val="auto"/>
          <w:sz w:val="24"/>
        </w:rPr>
        <w:t>球管</w:t>
      </w:r>
      <w:bookmarkStart w:id="4" w:name="_Hlk44972350"/>
      <w:r>
        <w:rPr>
          <w:rFonts w:hint="eastAsia" w:ascii="仿宋" w:hAnsi="仿宋" w:eastAsia="仿宋" w:cs="仿宋"/>
          <w:color w:val="auto"/>
          <w:sz w:val="24"/>
        </w:rPr>
        <w:t>与主机原配套球管型号一致（球管型号：D3887T）</w:t>
      </w:r>
      <w:bookmarkEnd w:id="4"/>
      <w:r>
        <w:rPr>
          <w:rFonts w:hint="eastAsia" w:ascii="仿宋" w:hAnsi="仿宋" w:eastAsia="仿宋" w:cs="仿宋"/>
          <w:color w:val="auto"/>
          <w:sz w:val="24"/>
        </w:rPr>
        <w:t>，为设备制造商原厂的全新球管，完全符合原厂设计参数，不得有参数的偏移。投标人需提供Optima CT680E CT整机注册证复印件、</w:t>
      </w:r>
      <w:bookmarkEnd w:id="3"/>
      <w:r>
        <w:rPr>
          <w:rFonts w:hint="eastAsia" w:ascii="仿宋" w:hAnsi="仿宋" w:eastAsia="仿宋" w:cs="仿宋"/>
          <w:color w:val="auto"/>
          <w:spacing w:val="9"/>
          <w:sz w:val="24"/>
          <w:szCs w:val="24"/>
          <w:highlight w:val="none"/>
          <w:lang w:val="en-US" w:eastAsia="zh-CN"/>
        </w:rPr>
        <w:t>提供</w:t>
      </w:r>
      <w:r>
        <w:rPr>
          <w:rFonts w:hint="eastAsia" w:ascii="仿宋" w:hAnsi="仿宋" w:eastAsia="仿宋" w:cs="仿宋"/>
          <w:color w:val="auto"/>
          <w:sz w:val="24"/>
          <w:highlight w:val="none"/>
          <w:lang w:val="en-US" w:eastAsia="zh-CN"/>
        </w:rPr>
        <w:t>Optima CT680 Expert</w:t>
      </w:r>
      <w:r>
        <w:rPr>
          <w:rFonts w:hint="eastAsia" w:ascii="仿宋" w:hAnsi="仿宋" w:eastAsia="仿宋" w:cs="仿宋"/>
          <w:color w:val="auto"/>
          <w:sz w:val="24"/>
          <w:lang w:val="en-US" w:eastAsia="zh-CN"/>
        </w:rPr>
        <w:t xml:space="preserve"> 球管</w:t>
      </w:r>
      <w:r>
        <w:rPr>
          <w:rFonts w:hint="eastAsia" w:ascii="仿宋" w:hAnsi="仿宋" w:eastAsia="仿宋" w:cs="仿宋"/>
          <w:color w:val="auto"/>
          <w:sz w:val="24"/>
        </w:rPr>
        <w:t>（球管型号：D3887T）</w:t>
      </w:r>
      <w:r>
        <w:rPr>
          <w:rFonts w:hint="eastAsia" w:ascii="仿宋" w:hAnsi="仿宋" w:eastAsia="仿宋" w:cs="仿宋"/>
          <w:color w:val="auto"/>
          <w:sz w:val="24"/>
          <w:lang w:val="en-US" w:eastAsia="zh-CN"/>
        </w:rPr>
        <w:t>报关单或原厂球管更换的证明记录</w:t>
      </w:r>
      <w:r>
        <w:rPr>
          <w:rFonts w:hint="eastAsia" w:ascii="仿宋" w:hAnsi="仿宋" w:eastAsia="仿宋" w:cs="仿宋"/>
          <w:color w:val="auto"/>
          <w:spacing w:val="9"/>
          <w:sz w:val="24"/>
          <w:szCs w:val="24"/>
          <w:highlight w:val="none"/>
          <w:lang w:val="en-US" w:eastAsia="zh-CN"/>
        </w:rPr>
        <w:t>。</w:t>
      </w:r>
    </w:p>
    <w:p w14:paraId="2CCE704F">
      <w:pPr>
        <w:pStyle w:val="5"/>
        <w:keepNext w:val="0"/>
        <w:keepLines w:val="0"/>
        <w:pageBreakBefore w:val="0"/>
        <w:widowControl/>
        <w:numPr>
          <w:ilvl w:val="0"/>
          <w:numId w:val="8"/>
        </w:numPr>
        <w:kinsoku w:val="0"/>
        <w:wordWrap/>
        <w:overflowPunct/>
        <w:topLinePunct w:val="0"/>
        <w:autoSpaceDE w:val="0"/>
        <w:autoSpaceDN w:val="0"/>
        <w:bidi w:val="0"/>
        <w:adjustRightInd w:val="0"/>
        <w:snapToGrid w:val="0"/>
        <w:spacing w:before="106" w:line="360" w:lineRule="auto"/>
        <w:ind w:firstLine="420" w:firstLineChars="0"/>
        <w:textAlignment w:val="baseline"/>
        <w:rPr>
          <w:rFonts w:hint="eastAsia" w:ascii="仿宋" w:hAnsi="仿宋" w:eastAsia="仿宋" w:cs="仿宋"/>
          <w:color w:val="000000" w:themeColor="text1"/>
          <w:sz w:val="24"/>
          <w:lang w:val="en-US" w:eastAsia="zh-CN"/>
        </w:rPr>
      </w:pPr>
      <w:r>
        <w:rPr>
          <w:rFonts w:hint="eastAsia" w:ascii="仿宋" w:hAnsi="仿宋" w:eastAsia="仿宋" w:cs="仿宋"/>
          <w:color w:val="000000"/>
          <w:sz w:val="24"/>
        </w:rPr>
        <w:t>球管、平板探测器、高压油箱必须为原厂原装全新件。（提供承诺函并加盖投标人公章）</w:t>
      </w:r>
      <w:r>
        <w:rPr>
          <w:rFonts w:hint="eastAsia" w:ascii="仿宋" w:hAnsi="仿宋" w:eastAsia="仿宋" w:cs="仿宋"/>
          <w:color w:val="000000"/>
          <w:sz w:val="24"/>
          <w:lang w:eastAsia="zh-CN"/>
        </w:rPr>
        <w:t>。</w:t>
      </w:r>
    </w:p>
    <w:p w14:paraId="0BB728DB">
      <w:pPr>
        <w:pStyle w:val="5"/>
        <w:keepNext w:val="0"/>
        <w:keepLines w:val="0"/>
        <w:pageBreakBefore w:val="0"/>
        <w:widowControl/>
        <w:numPr>
          <w:ilvl w:val="0"/>
          <w:numId w:val="8"/>
        </w:numPr>
        <w:kinsoku w:val="0"/>
        <w:wordWrap/>
        <w:overflowPunct/>
        <w:topLinePunct w:val="0"/>
        <w:autoSpaceDE w:val="0"/>
        <w:autoSpaceDN w:val="0"/>
        <w:bidi w:val="0"/>
        <w:adjustRightInd w:val="0"/>
        <w:snapToGrid w:val="0"/>
        <w:spacing w:before="106" w:line="360" w:lineRule="auto"/>
        <w:ind w:firstLine="420" w:firstLineChars="0"/>
        <w:textAlignment w:val="baseline"/>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★中标人对设备进行维修保养时，须在需求科室及采购人相应工程师共同见证下完成，工单须由见证人同时签字方生效；</w:t>
      </w:r>
    </w:p>
    <w:p w14:paraId="59244C71">
      <w:pPr>
        <w:pStyle w:val="5"/>
        <w:keepNext w:val="0"/>
        <w:keepLines w:val="0"/>
        <w:pageBreakBefore w:val="0"/>
        <w:widowControl/>
        <w:numPr>
          <w:ilvl w:val="0"/>
          <w:numId w:val="8"/>
        </w:numPr>
        <w:kinsoku w:val="0"/>
        <w:wordWrap/>
        <w:overflowPunct/>
        <w:topLinePunct w:val="0"/>
        <w:autoSpaceDE w:val="0"/>
        <w:autoSpaceDN w:val="0"/>
        <w:bidi w:val="0"/>
        <w:adjustRightInd w:val="0"/>
        <w:snapToGrid w:val="0"/>
        <w:spacing w:before="106" w:line="360" w:lineRule="auto"/>
        <w:ind w:firstLine="420" w:firstLineChars="0"/>
        <w:textAlignment w:val="baseline"/>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★中标人不得有出现以下情况（包括但不限于以下内容）：复制本次维保设备的任何数据，盗用数据，同时维保维护数据向第三方透露等情形，若上述情况一经发现，采购人保留向中标人追偿追责的权利；</w:t>
      </w:r>
    </w:p>
    <w:p w14:paraId="447FD72E">
      <w:pPr>
        <w:pStyle w:val="5"/>
        <w:keepNext w:val="0"/>
        <w:keepLines w:val="0"/>
        <w:pageBreakBefore w:val="0"/>
        <w:widowControl/>
        <w:numPr>
          <w:ilvl w:val="0"/>
          <w:numId w:val="8"/>
        </w:numPr>
        <w:kinsoku w:val="0"/>
        <w:wordWrap/>
        <w:overflowPunct/>
        <w:topLinePunct w:val="0"/>
        <w:autoSpaceDE w:val="0"/>
        <w:autoSpaceDN w:val="0"/>
        <w:bidi w:val="0"/>
        <w:adjustRightInd w:val="0"/>
        <w:snapToGrid w:val="0"/>
        <w:spacing w:before="106" w:line="360" w:lineRule="auto"/>
        <w:ind w:firstLine="420" w:firstLineChars="0"/>
        <w:textAlignment w:val="baseline"/>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★在维保期内，采购人会对中标人的服务进行考核，若两次以上考核结果为不合格的，采购人有权单方无责解除合同。</w:t>
      </w:r>
    </w:p>
    <w:p w14:paraId="3020A48D">
      <w:pPr>
        <w:pStyle w:val="5"/>
        <w:keepNext w:val="0"/>
        <w:keepLines w:val="0"/>
        <w:pageBreakBefore w:val="0"/>
        <w:widowControl/>
        <w:numPr>
          <w:ilvl w:val="0"/>
          <w:numId w:val="8"/>
        </w:numPr>
        <w:kinsoku w:val="0"/>
        <w:wordWrap/>
        <w:overflowPunct/>
        <w:topLinePunct w:val="0"/>
        <w:autoSpaceDE w:val="0"/>
        <w:autoSpaceDN w:val="0"/>
        <w:bidi w:val="0"/>
        <w:adjustRightInd w:val="0"/>
        <w:snapToGrid w:val="0"/>
        <w:spacing w:before="106" w:line="360" w:lineRule="auto"/>
        <w:ind w:firstLine="420" w:firstLineChars="0"/>
        <w:textAlignment w:val="baseline"/>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考核表</w:t>
      </w:r>
    </w:p>
    <w:tbl>
      <w:tblPr>
        <w:tblStyle w:val="10"/>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4"/>
        <w:gridCol w:w="860"/>
        <w:gridCol w:w="666"/>
        <w:gridCol w:w="563"/>
        <w:gridCol w:w="450"/>
        <w:gridCol w:w="605"/>
        <w:gridCol w:w="499"/>
        <w:gridCol w:w="448"/>
        <w:gridCol w:w="1043"/>
        <w:gridCol w:w="1075"/>
        <w:gridCol w:w="988"/>
      </w:tblGrid>
      <w:tr w14:paraId="39500E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460" w:type="dxa"/>
            <w:gridSpan w:val="11"/>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B124BAE">
            <w:pPr>
              <w:pStyle w:val="19"/>
              <w:jc w:val="center"/>
            </w:pPr>
            <w:r>
              <w:rPr>
                <w:color w:val="0000FF"/>
                <w:sz w:val="21"/>
                <w:shd w:val="clear" w:fill="FFFFFF"/>
              </w:rPr>
              <w:t>中山市人</w:t>
            </w:r>
            <w:r>
              <w:rPr>
                <w:rFonts w:hint="eastAsia"/>
                <w:color w:val="0000FF"/>
                <w:sz w:val="21"/>
                <w:shd w:val="clear" w:fill="FFFFFF"/>
                <w:lang w:val="en-US" w:eastAsia="zh-CN"/>
              </w:rPr>
              <w:t>小榄</w:t>
            </w:r>
            <w:r>
              <w:rPr>
                <w:color w:val="0000FF"/>
                <w:sz w:val="21"/>
                <w:shd w:val="clear" w:fill="FFFFFF"/>
              </w:rPr>
              <w:t>民医院-设备科维保服务调查考核表</w:t>
            </w:r>
          </w:p>
        </w:tc>
      </w:tr>
      <w:tr w14:paraId="6D7B00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3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620A42">
            <w:pPr>
              <w:pStyle w:val="19"/>
              <w:jc w:val="center"/>
            </w:pPr>
            <w:r>
              <w:rPr>
                <w:color w:val="000000"/>
                <w:sz w:val="20"/>
              </w:rPr>
              <w:t>维保设备/ 项目名称</w:t>
            </w:r>
          </w:p>
          <w:p w14:paraId="6205DED3">
            <w:pPr>
              <w:pStyle w:val="19"/>
              <w:jc w:val="center"/>
            </w:pPr>
            <w:r>
              <w:rPr>
                <w:color w:val="000000"/>
                <w:sz w:val="20"/>
              </w:rPr>
              <w:t>（与合同一致）</w:t>
            </w:r>
          </w:p>
        </w:tc>
        <w:tc>
          <w:tcPr>
            <w:tcW w:w="5722" w:type="dxa"/>
            <w:gridSpan w:val="8"/>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420E0E9">
            <w:pPr>
              <w:pStyle w:val="19"/>
            </w:pPr>
          </w:p>
        </w:tc>
      </w:tr>
      <w:tr w14:paraId="72D12D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00F16">
            <w:pPr>
              <w:pStyle w:val="19"/>
              <w:jc w:val="center"/>
            </w:pPr>
            <w:r>
              <w:rPr>
                <w:color w:val="000000"/>
                <w:sz w:val="20"/>
              </w:rPr>
              <w:t>维保设备</w:t>
            </w:r>
          </w:p>
          <w:p w14:paraId="66505FD2">
            <w:pPr>
              <w:pStyle w:val="19"/>
              <w:jc w:val="center"/>
            </w:pPr>
            <w:r>
              <w:rPr>
                <w:color w:val="000000"/>
                <w:sz w:val="20"/>
              </w:rPr>
              <w:t>品牌型号</w:t>
            </w:r>
          </w:p>
        </w:tc>
        <w:tc>
          <w:tcPr>
            <w:tcW w:w="257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099522">
            <w:pPr>
              <w:pStyle w:val="19"/>
              <w:jc w:val="center"/>
            </w:pPr>
          </w:p>
        </w:tc>
        <w:tc>
          <w:tcPr>
            <w:tcW w:w="111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CBE23A2">
            <w:pPr>
              <w:pStyle w:val="19"/>
              <w:jc w:val="center"/>
            </w:pPr>
            <w:r>
              <w:rPr>
                <w:color w:val="000000"/>
                <w:sz w:val="20"/>
              </w:rPr>
              <w:t>合同编号</w:t>
            </w:r>
          </w:p>
        </w:tc>
        <w:tc>
          <w:tcPr>
            <w:tcW w:w="3580"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859758">
            <w:pPr>
              <w:pStyle w:val="19"/>
            </w:pPr>
          </w:p>
        </w:tc>
      </w:tr>
      <w:tr w14:paraId="0D360A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F20AE">
            <w:pPr>
              <w:pStyle w:val="19"/>
              <w:jc w:val="center"/>
            </w:pPr>
            <w:r>
              <w:rPr>
                <w:color w:val="000000"/>
                <w:sz w:val="20"/>
              </w:rPr>
              <w:t>保修公司</w:t>
            </w:r>
          </w:p>
        </w:tc>
        <w:tc>
          <w:tcPr>
            <w:tcW w:w="2571"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458702">
            <w:pPr>
              <w:pStyle w:val="19"/>
              <w:jc w:val="center"/>
            </w:pPr>
          </w:p>
        </w:tc>
        <w:tc>
          <w:tcPr>
            <w:tcW w:w="1111"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44D3C5">
            <w:pPr>
              <w:pStyle w:val="19"/>
              <w:jc w:val="center"/>
            </w:pPr>
            <w:r>
              <w:rPr>
                <w:color w:val="000000"/>
                <w:sz w:val="20"/>
              </w:rPr>
              <w:t>保修期</w:t>
            </w:r>
          </w:p>
        </w:tc>
        <w:tc>
          <w:tcPr>
            <w:tcW w:w="358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8499E">
            <w:pPr>
              <w:pStyle w:val="19"/>
            </w:pPr>
          </w:p>
        </w:tc>
      </w:tr>
      <w:tr w14:paraId="30108F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A1A41D">
            <w:pPr>
              <w:pStyle w:val="19"/>
              <w:jc w:val="center"/>
            </w:pPr>
            <w:r>
              <w:rPr>
                <w:color w:val="000000"/>
                <w:sz w:val="20"/>
              </w:rPr>
              <w:t>合同类型</w:t>
            </w:r>
          </w:p>
        </w:tc>
        <w:tc>
          <w:tcPr>
            <w:tcW w:w="7262"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A88645">
            <w:pPr>
              <w:pStyle w:val="19"/>
              <w:jc w:val="center"/>
            </w:pPr>
            <w:r>
              <w:rPr>
                <w:color w:val="000000"/>
                <w:sz w:val="20"/>
              </w:rPr>
              <w:t>£全保型</w:t>
            </w:r>
            <w:r>
              <w:rPr>
                <w:color w:val="000000"/>
                <w:sz w:val="21"/>
              </w:rPr>
              <w:t xml:space="preserve">   </w:t>
            </w:r>
            <w:r>
              <w:rPr>
                <w:color w:val="000000"/>
                <w:sz w:val="20"/>
              </w:rPr>
              <w:t>£技术保   £次数保   £保养型</w:t>
            </w:r>
            <w:r>
              <w:rPr>
                <w:color w:val="000000"/>
                <w:sz w:val="21"/>
              </w:rPr>
              <w:t xml:space="preserve">   </w:t>
            </w:r>
            <w:r>
              <w:rPr>
                <w:color w:val="000000"/>
                <w:sz w:val="20"/>
              </w:rPr>
              <w:t>£其他（                 ）</w:t>
            </w:r>
          </w:p>
        </w:tc>
      </w:tr>
      <w:tr w14:paraId="3A4298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1ED976">
            <w:pPr>
              <w:pStyle w:val="19"/>
              <w:jc w:val="center"/>
            </w:pPr>
            <w:r>
              <w:rPr>
                <w:color w:val="000000"/>
                <w:sz w:val="20"/>
              </w:rPr>
              <w:t>合同总额</w:t>
            </w:r>
          </w:p>
        </w:tc>
        <w:tc>
          <w:tcPr>
            <w:tcW w:w="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75C908">
            <w:pPr>
              <w:pStyle w:val="19"/>
              <w:jc w:val="center"/>
            </w:pPr>
          </w:p>
        </w:tc>
        <w:tc>
          <w:tcPr>
            <w:tcW w:w="2811"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3881FD">
            <w:pPr>
              <w:pStyle w:val="19"/>
              <w:jc w:val="center"/>
            </w:pPr>
            <w:r>
              <w:rPr>
                <w:b/>
                <w:color w:val="000000"/>
                <w:sz w:val="20"/>
              </w:rPr>
              <w:t>付款总周期数及每周期金额</w:t>
            </w:r>
          </w:p>
        </w:tc>
        <w:tc>
          <w:tcPr>
            <w:tcW w:w="3580"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1FCA26">
            <w:pPr>
              <w:pStyle w:val="19"/>
              <w:jc w:val="center"/>
            </w:pPr>
          </w:p>
        </w:tc>
      </w:tr>
      <w:tr w14:paraId="16791C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FF9229">
            <w:pPr>
              <w:pStyle w:val="19"/>
              <w:jc w:val="both"/>
            </w:pPr>
            <w:r>
              <w:rPr>
                <w:color w:val="000000"/>
                <w:sz w:val="20"/>
              </w:rPr>
              <w:t>本次考核时段</w:t>
            </w:r>
          </w:p>
        </w:tc>
        <w:tc>
          <w:tcPr>
            <w:tcW w:w="8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BD7256">
            <w:pPr>
              <w:pStyle w:val="19"/>
              <w:jc w:val="center"/>
            </w:pPr>
          </w:p>
        </w:tc>
        <w:tc>
          <w:tcPr>
            <w:tcW w:w="12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3803E8">
            <w:pPr>
              <w:pStyle w:val="19"/>
              <w:jc w:val="center"/>
            </w:pPr>
            <w:r>
              <w:rPr>
                <w:b/>
                <w:color w:val="000000"/>
                <w:sz w:val="20"/>
              </w:rPr>
              <w:t>本次付款周期</w:t>
            </w:r>
          </w:p>
        </w:tc>
        <w:tc>
          <w:tcPr>
            <w:tcW w:w="157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2D2B1">
            <w:pPr>
              <w:pStyle w:val="19"/>
              <w:jc w:val="center"/>
            </w:pPr>
          </w:p>
        </w:tc>
        <w:tc>
          <w:tcPr>
            <w:tcW w:w="1507"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0FEEEAD">
            <w:pPr>
              <w:pStyle w:val="19"/>
              <w:jc w:val="center"/>
            </w:pPr>
            <w:r>
              <w:rPr>
                <w:color w:val="000000"/>
                <w:sz w:val="20"/>
              </w:rPr>
              <w:t>申请付款金额</w:t>
            </w:r>
          </w:p>
        </w:tc>
        <w:tc>
          <w:tcPr>
            <w:tcW w:w="2073"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EF66A50">
            <w:pPr>
              <w:pStyle w:val="19"/>
              <w:jc w:val="center"/>
            </w:pPr>
          </w:p>
        </w:tc>
      </w:tr>
      <w:tr w14:paraId="29B320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8460" w:type="dxa"/>
            <w:gridSpan w:val="11"/>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C59C6">
            <w:pPr>
              <w:pStyle w:val="19"/>
              <w:jc w:val="center"/>
            </w:pPr>
            <w:r>
              <w:rPr>
                <w:b/>
                <w:color w:val="000000"/>
                <w:sz w:val="20"/>
              </w:rPr>
              <w:t>客观评价内容</w:t>
            </w:r>
          </w:p>
        </w:tc>
      </w:tr>
      <w:tr w14:paraId="61FFF4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88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E23EEA">
            <w:pPr>
              <w:pStyle w:val="19"/>
              <w:jc w:val="center"/>
            </w:pPr>
            <w:r>
              <w:rPr>
                <w:color w:val="000000"/>
                <w:sz w:val="20"/>
              </w:rPr>
              <w:t xml:space="preserve"> 实际工作统计</w:t>
            </w:r>
          </w:p>
        </w:tc>
        <w:tc>
          <w:tcPr>
            <w:tcW w:w="3580"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3FA5BC">
            <w:pPr>
              <w:pStyle w:val="19"/>
              <w:jc w:val="center"/>
            </w:pPr>
            <w:r>
              <w:rPr>
                <w:color w:val="000000"/>
                <w:sz w:val="20"/>
              </w:rPr>
              <w:t>合同约定</w:t>
            </w:r>
          </w:p>
        </w:tc>
      </w:tr>
      <w:tr w14:paraId="0465F3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51213E">
            <w:pPr>
              <w:pStyle w:val="19"/>
              <w:jc w:val="center"/>
            </w:pPr>
            <w:r>
              <w:rPr>
                <w:color w:val="000000"/>
                <w:sz w:val="20"/>
              </w:rPr>
              <w:t>保养</w:t>
            </w:r>
            <w:r>
              <w:rPr>
                <w:color w:val="000000"/>
                <w:sz w:val="21"/>
              </w:rPr>
              <w:t xml:space="preserve">  </w:t>
            </w:r>
          </w:p>
        </w:tc>
        <w:tc>
          <w:tcPr>
            <w:tcW w:w="281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1F76B0">
            <w:pPr>
              <w:pStyle w:val="19"/>
              <w:jc w:val="right"/>
            </w:pPr>
            <w:r>
              <w:rPr>
                <w:color w:val="000000"/>
                <w:sz w:val="20"/>
              </w:rPr>
              <w:t>次</w:t>
            </w:r>
          </w:p>
        </w:tc>
        <w:tc>
          <w:tcPr>
            <w:tcW w:w="3580"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0CEA0E">
            <w:pPr>
              <w:pStyle w:val="19"/>
              <w:jc w:val="center"/>
            </w:pPr>
            <w:r>
              <w:rPr>
                <w:color w:val="000000"/>
                <w:sz w:val="21"/>
              </w:rPr>
              <w:t xml:space="preserve">                          </w:t>
            </w:r>
            <w:r>
              <w:rPr>
                <w:color w:val="000000"/>
                <w:sz w:val="20"/>
              </w:rPr>
              <w:t>次</w:t>
            </w:r>
          </w:p>
        </w:tc>
      </w:tr>
      <w:tr w14:paraId="27A2C5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3F0CE9">
            <w:pPr>
              <w:pStyle w:val="19"/>
              <w:jc w:val="center"/>
            </w:pPr>
            <w:r>
              <w:rPr>
                <w:color w:val="000000"/>
                <w:sz w:val="20"/>
              </w:rPr>
              <w:t>培训</w:t>
            </w:r>
            <w:r>
              <w:rPr>
                <w:color w:val="000000"/>
                <w:sz w:val="21"/>
              </w:rPr>
              <w:t xml:space="preserve"> </w:t>
            </w:r>
          </w:p>
        </w:tc>
        <w:tc>
          <w:tcPr>
            <w:tcW w:w="281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6FBF31">
            <w:pPr>
              <w:pStyle w:val="19"/>
              <w:jc w:val="right"/>
            </w:pPr>
            <w:r>
              <w:rPr>
                <w:color w:val="000000"/>
                <w:sz w:val="20"/>
              </w:rPr>
              <w:t>次</w:t>
            </w:r>
          </w:p>
        </w:tc>
        <w:tc>
          <w:tcPr>
            <w:tcW w:w="358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F7446C">
            <w:pPr>
              <w:pStyle w:val="19"/>
              <w:jc w:val="center"/>
            </w:pPr>
            <w:r>
              <w:rPr>
                <w:color w:val="000000"/>
                <w:sz w:val="21"/>
              </w:rPr>
              <w:t xml:space="preserve">                          </w:t>
            </w:r>
            <w:r>
              <w:rPr>
                <w:color w:val="000000"/>
                <w:sz w:val="20"/>
              </w:rPr>
              <w:t>次</w:t>
            </w:r>
          </w:p>
        </w:tc>
      </w:tr>
      <w:tr w14:paraId="118AE9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834E17">
            <w:pPr>
              <w:pStyle w:val="19"/>
              <w:jc w:val="center"/>
            </w:pPr>
            <w:r>
              <w:rPr>
                <w:color w:val="000000"/>
                <w:sz w:val="20"/>
              </w:rPr>
              <w:t>检测</w:t>
            </w:r>
            <w:r>
              <w:rPr>
                <w:color w:val="000000"/>
                <w:sz w:val="21"/>
              </w:rPr>
              <w:t xml:space="preserve"> </w:t>
            </w:r>
          </w:p>
        </w:tc>
        <w:tc>
          <w:tcPr>
            <w:tcW w:w="281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4FFF74">
            <w:pPr>
              <w:pStyle w:val="19"/>
              <w:jc w:val="right"/>
            </w:pPr>
            <w:r>
              <w:rPr>
                <w:color w:val="000000"/>
                <w:sz w:val="20"/>
              </w:rPr>
              <w:t>次</w:t>
            </w:r>
          </w:p>
        </w:tc>
        <w:tc>
          <w:tcPr>
            <w:tcW w:w="358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4378E0">
            <w:pPr>
              <w:pStyle w:val="19"/>
              <w:jc w:val="right"/>
            </w:pPr>
            <w:r>
              <w:rPr>
                <w:color w:val="000000"/>
                <w:sz w:val="20"/>
              </w:rPr>
              <w:t>次</w:t>
            </w:r>
          </w:p>
        </w:tc>
      </w:tr>
      <w:tr w14:paraId="114032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513697">
            <w:pPr>
              <w:pStyle w:val="19"/>
              <w:jc w:val="center"/>
            </w:pPr>
            <w:r>
              <w:rPr>
                <w:color w:val="000000"/>
                <w:sz w:val="20"/>
              </w:rPr>
              <w:t>维修</w:t>
            </w:r>
            <w:r>
              <w:rPr>
                <w:color w:val="000000"/>
                <w:sz w:val="21"/>
              </w:rPr>
              <w:t xml:space="preserve"> </w:t>
            </w:r>
          </w:p>
        </w:tc>
        <w:tc>
          <w:tcPr>
            <w:tcW w:w="281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4F371">
            <w:pPr>
              <w:pStyle w:val="19"/>
              <w:jc w:val="right"/>
            </w:pPr>
            <w:r>
              <w:rPr>
                <w:color w:val="000000"/>
                <w:sz w:val="20"/>
              </w:rPr>
              <w:t>次</w:t>
            </w:r>
          </w:p>
        </w:tc>
        <w:tc>
          <w:tcPr>
            <w:tcW w:w="358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873C8">
            <w:pPr>
              <w:pStyle w:val="19"/>
              <w:jc w:val="right"/>
            </w:pPr>
            <w:r>
              <w:rPr>
                <w:color w:val="000000"/>
                <w:sz w:val="20"/>
              </w:rPr>
              <w:t>次</w:t>
            </w:r>
          </w:p>
        </w:tc>
      </w:tr>
      <w:tr w14:paraId="41A22B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C6A482">
            <w:pPr>
              <w:pStyle w:val="19"/>
              <w:jc w:val="center"/>
            </w:pPr>
            <w:r>
              <w:rPr>
                <w:color w:val="000000"/>
                <w:sz w:val="20"/>
              </w:rPr>
              <w:t>消耗配件</w:t>
            </w:r>
            <w:r>
              <w:rPr>
                <w:color w:val="000000"/>
                <w:sz w:val="21"/>
              </w:rPr>
              <w:t xml:space="preserve"> </w:t>
            </w:r>
          </w:p>
        </w:tc>
        <w:tc>
          <w:tcPr>
            <w:tcW w:w="281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77518A">
            <w:pPr>
              <w:pStyle w:val="19"/>
              <w:jc w:val="center"/>
            </w:pPr>
            <w:r>
              <w:rPr>
                <w:color w:val="000000"/>
                <w:sz w:val="20"/>
              </w:rPr>
              <w:t>件      元</w:t>
            </w:r>
          </w:p>
        </w:tc>
        <w:tc>
          <w:tcPr>
            <w:tcW w:w="358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E89398">
            <w:pPr>
              <w:pStyle w:val="19"/>
              <w:jc w:val="center"/>
            </w:pPr>
          </w:p>
        </w:tc>
      </w:tr>
      <w:tr w14:paraId="46324C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017EE">
            <w:pPr>
              <w:pStyle w:val="19"/>
              <w:jc w:val="center"/>
            </w:pPr>
            <w:r>
              <w:rPr>
                <w:color w:val="000000"/>
                <w:sz w:val="20"/>
              </w:rPr>
              <w:t xml:space="preserve">停机天数  </w:t>
            </w:r>
          </w:p>
        </w:tc>
        <w:tc>
          <w:tcPr>
            <w:tcW w:w="281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3913CC">
            <w:pPr>
              <w:pStyle w:val="19"/>
              <w:jc w:val="right"/>
            </w:pPr>
            <w:r>
              <w:rPr>
                <w:color w:val="000000"/>
                <w:sz w:val="21"/>
              </w:rPr>
              <w:t xml:space="preserve">  </w:t>
            </w:r>
            <w:r>
              <w:rPr>
                <w:color w:val="000000"/>
                <w:sz w:val="20"/>
              </w:rPr>
              <w:t>天</w:t>
            </w:r>
          </w:p>
        </w:tc>
        <w:tc>
          <w:tcPr>
            <w:tcW w:w="358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2C7BE4">
            <w:pPr>
              <w:pStyle w:val="19"/>
              <w:jc w:val="both"/>
            </w:pPr>
            <w:r>
              <w:rPr>
                <w:color w:val="000000"/>
                <w:sz w:val="20"/>
              </w:rPr>
              <w:t>开机率</w:t>
            </w:r>
            <w:r>
              <w:rPr>
                <w:color w:val="000000"/>
                <w:sz w:val="21"/>
                <w:u w:val="single"/>
              </w:rPr>
              <w:t xml:space="preserve">          </w:t>
            </w:r>
            <w:r>
              <w:rPr>
                <w:color w:val="000000"/>
                <w:sz w:val="21"/>
              </w:rPr>
              <w:t xml:space="preserve"> </w:t>
            </w:r>
          </w:p>
        </w:tc>
      </w:tr>
      <w:tr w14:paraId="218ADA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12FCF2">
            <w:pPr>
              <w:pStyle w:val="19"/>
              <w:jc w:val="center"/>
            </w:pPr>
            <w:r>
              <w:rPr>
                <w:color w:val="000000"/>
                <w:sz w:val="20"/>
              </w:rPr>
              <w:t>阶段性维保报告</w:t>
            </w:r>
            <w:r>
              <w:rPr>
                <w:color w:val="000000"/>
                <w:sz w:val="21"/>
              </w:rPr>
              <w:t xml:space="preserve"> </w:t>
            </w:r>
          </w:p>
        </w:tc>
        <w:tc>
          <w:tcPr>
            <w:tcW w:w="2811"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299DD9">
            <w:pPr>
              <w:pStyle w:val="19"/>
              <w:jc w:val="right"/>
            </w:pPr>
            <w:r>
              <w:rPr>
                <w:color w:val="000000"/>
                <w:sz w:val="20"/>
              </w:rPr>
              <w:t xml:space="preserve">  份</w:t>
            </w:r>
          </w:p>
        </w:tc>
        <w:tc>
          <w:tcPr>
            <w:tcW w:w="358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87BE0">
            <w:pPr>
              <w:pStyle w:val="19"/>
              <w:jc w:val="right"/>
            </w:pPr>
            <w:r>
              <w:rPr>
                <w:color w:val="000000"/>
                <w:sz w:val="20"/>
              </w:rPr>
              <w:t xml:space="preserve">  份   </w:t>
            </w:r>
          </w:p>
        </w:tc>
      </w:tr>
      <w:tr w14:paraId="3D4866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53" w:hRule="atLeast"/>
        </w:trPr>
        <w:tc>
          <w:tcPr>
            <w:tcW w:w="8460" w:type="dxa"/>
            <w:gridSpan w:val="11"/>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30294A">
            <w:pPr>
              <w:pStyle w:val="19"/>
              <w:jc w:val="both"/>
            </w:pPr>
            <w:r>
              <w:rPr>
                <w:color w:val="000000"/>
                <w:sz w:val="20"/>
              </w:rPr>
              <w:t>工程师意见：</w:t>
            </w:r>
          </w:p>
          <w:p w14:paraId="1780DDAA">
            <w:pPr>
              <w:pStyle w:val="19"/>
              <w:jc w:val="both"/>
            </w:pPr>
            <w:r>
              <w:rPr>
                <w:color w:val="000000"/>
                <w:sz w:val="20"/>
              </w:rPr>
              <w:t>£实际工作与合同约定一致；   £实际工作与合同约定不一致。（不达标必须填写具体情况）</w:t>
            </w:r>
          </w:p>
          <w:p w14:paraId="6F305537">
            <w:pPr>
              <w:pStyle w:val="19"/>
              <w:jc w:val="both"/>
            </w:pPr>
            <w:r>
              <w:rPr>
                <w:color w:val="000000"/>
                <w:sz w:val="20"/>
              </w:rPr>
              <w:t>不达标情况：</w:t>
            </w:r>
            <w:r>
              <w:rPr>
                <w:color w:val="000000"/>
                <w:sz w:val="21"/>
              </w:rPr>
              <w:t xml:space="preserve">       </w:t>
            </w:r>
          </w:p>
          <w:p w14:paraId="370EA182">
            <w:pPr>
              <w:pStyle w:val="19"/>
              <w:ind w:left="5595"/>
              <w:jc w:val="left"/>
            </w:pPr>
            <w:r>
              <w:rPr>
                <w:color w:val="000000"/>
                <w:sz w:val="20"/>
              </w:rPr>
              <w:t xml:space="preserve">                                                                    工程师签名：</w:t>
            </w:r>
          </w:p>
        </w:tc>
      </w:tr>
      <w:tr w14:paraId="6FADC0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8460" w:type="dxa"/>
            <w:gridSpan w:val="11"/>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5C6A1">
            <w:pPr>
              <w:pStyle w:val="19"/>
              <w:jc w:val="center"/>
            </w:pPr>
            <w:r>
              <w:rPr>
                <w:b/>
                <w:color w:val="000000"/>
                <w:sz w:val="20"/>
              </w:rPr>
              <w:t>主观评价分数（100分）</w:t>
            </w:r>
          </w:p>
        </w:tc>
      </w:tr>
      <w:tr w14:paraId="09BD26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069"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D262D">
            <w:pPr>
              <w:pStyle w:val="19"/>
              <w:jc w:val="center"/>
            </w:pPr>
            <w:r>
              <w:rPr>
                <w:color w:val="000000"/>
                <w:sz w:val="20"/>
              </w:rPr>
              <w:t>评价指标</w:t>
            </w:r>
          </w:p>
        </w:tc>
        <w:tc>
          <w:tcPr>
            <w:tcW w:w="1239" w:type="dxa"/>
            <w:gridSpan w:val="2"/>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A66A45">
            <w:pPr>
              <w:pStyle w:val="19"/>
              <w:jc w:val="center"/>
            </w:pPr>
            <w:r>
              <w:rPr>
                <w:rFonts w:hint="eastAsia"/>
                <w:color w:val="0000FF"/>
                <w:sz w:val="20"/>
                <w:lang w:val="en-US" w:eastAsia="zh-CN"/>
              </w:rPr>
              <w:t>设备科</w:t>
            </w:r>
            <w:r>
              <w:rPr>
                <w:color w:val="000000"/>
                <w:sz w:val="20"/>
              </w:rPr>
              <w:t>评价（50%）</w:t>
            </w:r>
          </w:p>
        </w:tc>
        <w:tc>
          <w:tcPr>
            <w:tcW w:w="5152" w:type="dxa"/>
            <w:gridSpan w:val="7"/>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4DD017">
            <w:pPr>
              <w:pStyle w:val="19"/>
              <w:jc w:val="center"/>
            </w:pPr>
            <w:r>
              <w:rPr>
                <w:color w:val="000000"/>
                <w:sz w:val="20"/>
              </w:rPr>
              <w:t>使用科室评价（50%）</w:t>
            </w:r>
          </w:p>
        </w:tc>
      </w:tr>
      <w:tr w14:paraId="4D5F57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9" w:type="dxa"/>
            <w:gridSpan w:val="2"/>
            <w:vMerge w:val="continue"/>
            <w:tcBorders>
              <w:top w:val="nil"/>
              <w:left w:val="single" w:color="000000" w:sz="4" w:space="0"/>
              <w:bottom w:val="single" w:color="000000" w:sz="4" w:space="0"/>
              <w:right w:val="single" w:color="000000" w:sz="4" w:space="0"/>
            </w:tcBorders>
          </w:tcPr>
          <w:p w14:paraId="2874592F"/>
        </w:tc>
        <w:tc>
          <w:tcPr>
            <w:tcW w:w="1239" w:type="dxa"/>
            <w:gridSpan w:val="2"/>
            <w:vMerge w:val="continue"/>
            <w:tcBorders>
              <w:top w:val="single" w:color="000000" w:sz="4" w:space="0"/>
              <w:left w:val="single" w:color="000000" w:sz="4" w:space="0"/>
              <w:bottom w:val="single" w:color="000000" w:sz="4" w:space="0"/>
              <w:right w:val="single" w:color="000000" w:sz="4" w:space="0"/>
            </w:tcBorders>
          </w:tcPr>
          <w:p w14:paraId="4E76D86C"/>
        </w:tc>
        <w:tc>
          <w:tcPr>
            <w:tcW w:w="106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F445F">
            <w:pPr>
              <w:pStyle w:val="19"/>
              <w:jc w:val="left"/>
            </w:pPr>
            <w:r>
              <w:rPr>
                <w:color w:val="000000"/>
                <w:sz w:val="20"/>
              </w:rPr>
              <w:t>科室名称</w:t>
            </w:r>
          </w:p>
        </w:tc>
        <w:tc>
          <w:tcPr>
            <w:tcW w:w="96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8E25D13">
            <w:pPr>
              <w:pStyle w:val="19"/>
              <w:jc w:val="left"/>
            </w:pPr>
            <w:r>
              <w:rPr>
                <w:color w:val="000000"/>
                <w:sz w:val="20"/>
              </w:rPr>
              <w:t>科室名称</w:t>
            </w:r>
          </w:p>
        </w:tc>
        <w:tc>
          <w:tcPr>
            <w:tcW w:w="10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7348C1">
            <w:pPr>
              <w:pStyle w:val="19"/>
              <w:jc w:val="left"/>
            </w:pPr>
            <w:r>
              <w:rPr>
                <w:color w:val="000000"/>
                <w:sz w:val="20"/>
              </w:rPr>
              <w:t>科室名称</w:t>
            </w:r>
          </w:p>
        </w:tc>
        <w:tc>
          <w:tcPr>
            <w:tcW w:w="10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B779722">
            <w:pPr>
              <w:pStyle w:val="19"/>
              <w:jc w:val="left"/>
            </w:pPr>
            <w:r>
              <w:rPr>
                <w:color w:val="000000"/>
                <w:sz w:val="20"/>
              </w:rPr>
              <w:t>科室名称</w:t>
            </w:r>
          </w:p>
        </w:tc>
        <w:tc>
          <w:tcPr>
            <w:tcW w:w="9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F715E8">
            <w:pPr>
              <w:pStyle w:val="19"/>
              <w:jc w:val="left"/>
            </w:pPr>
            <w:r>
              <w:rPr>
                <w:color w:val="000000"/>
                <w:sz w:val="20"/>
              </w:rPr>
              <w:t>科室名称</w:t>
            </w:r>
          </w:p>
        </w:tc>
      </w:tr>
      <w:tr w14:paraId="1D4FCA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9A054F">
            <w:pPr>
              <w:pStyle w:val="19"/>
              <w:jc w:val="both"/>
            </w:pPr>
            <w:r>
              <w:rPr>
                <w:color w:val="000000"/>
                <w:sz w:val="20"/>
              </w:rPr>
              <w:t>维修专业能力（20分）</w:t>
            </w:r>
          </w:p>
        </w:tc>
        <w:tc>
          <w:tcPr>
            <w:tcW w:w="12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DB4571">
            <w:pPr>
              <w:pStyle w:val="19"/>
              <w:jc w:val="center"/>
            </w:pPr>
          </w:p>
        </w:tc>
        <w:tc>
          <w:tcPr>
            <w:tcW w:w="106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358AE1"/>
        </w:tc>
        <w:tc>
          <w:tcPr>
            <w:tcW w:w="96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A7D8D8"/>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737027"/>
        </w:tc>
        <w:tc>
          <w:tcPr>
            <w:tcW w:w="10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B573E"/>
        </w:tc>
        <w:tc>
          <w:tcPr>
            <w:tcW w:w="9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CF1071"/>
        </w:tc>
      </w:tr>
      <w:tr w14:paraId="6813EE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0360D8">
            <w:pPr>
              <w:pStyle w:val="19"/>
              <w:jc w:val="both"/>
            </w:pPr>
            <w:r>
              <w:rPr>
                <w:color w:val="000000"/>
                <w:sz w:val="20"/>
              </w:rPr>
              <w:t>配件供应速度（20分）</w:t>
            </w:r>
          </w:p>
        </w:tc>
        <w:tc>
          <w:tcPr>
            <w:tcW w:w="12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51D3E7">
            <w:pPr>
              <w:pStyle w:val="19"/>
              <w:jc w:val="center"/>
            </w:pPr>
          </w:p>
        </w:tc>
        <w:tc>
          <w:tcPr>
            <w:tcW w:w="106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AB26EA"/>
        </w:tc>
        <w:tc>
          <w:tcPr>
            <w:tcW w:w="96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4168EC"/>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1BC6DE"/>
        </w:tc>
        <w:tc>
          <w:tcPr>
            <w:tcW w:w="10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D6279F"/>
        </w:tc>
        <w:tc>
          <w:tcPr>
            <w:tcW w:w="9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292039"/>
        </w:tc>
      </w:tr>
      <w:tr w14:paraId="1B5656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004DAD">
            <w:pPr>
              <w:pStyle w:val="19"/>
              <w:jc w:val="center"/>
            </w:pPr>
            <w:r>
              <w:rPr>
                <w:color w:val="000000"/>
                <w:sz w:val="20"/>
              </w:rPr>
              <w:t>响应时间（20分）</w:t>
            </w:r>
          </w:p>
          <w:p w14:paraId="11E3B7B5">
            <w:pPr>
              <w:pStyle w:val="19"/>
              <w:jc w:val="both"/>
            </w:pPr>
            <w:r>
              <w:rPr>
                <w:color w:val="000000"/>
                <w:sz w:val="20"/>
              </w:rPr>
              <w:t>承诺响应时间</w:t>
            </w:r>
            <w:r>
              <w:rPr>
                <w:color w:val="000000"/>
                <w:sz w:val="21"/>
                <w:u w:val="single"/>
              </w:rPr>
              <w:t xml:space="preserve">      </w:t>
            </w:r>
            <w:r>
              <w:rPr>
                <w:color w:val="000000"/>
                <w:sz w:val="21"/>
              </w:rPr>
              <w:t xml:space="preserve">      </w:t>
            </w:r>
          </w:p>
          <w:p w14:paraId="593B0B53">
            <w:pPr>
              <w:pStyle w:val="19"/>
              <w:jc w:val="both"/>
            </w:pPr>
            <w:r>
              <w:rPr>
                <w:color w:val="000000"/>
                <w:sz w:val="20"/>
              </w:rPr>
              <w:t>承诺到场时间</w:t>
            </w:r>
            <w:r>
              <w:rPr>
                <w:color w:val="000000"/>
                <w:sz w:val="21"/>
                <w:u w:val="single"/>
              </w:rPr>
              <w:t xml:space="preserve">      </w:t>
            </w:r>
            <w:r>
              <w:rPr>
                <w:color w:val="000000"/>
                <w:sz w:val="21"/>
              </w:rPr>
              <w:t xml:space="preserve">              </w:t>
            </w:r>
          </w:p>
        </w:tc>
        <w:tc>
          <w:tcPr>
            <w:tcW w:w="12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DA695D">
            <w:pPr>
              <w:pStyle w:val="19"/>
              <w:jc w:val="center"/>
            </w:pPr>
          </w:p>
        </w:tc>
        <w:tc>
          <w:tcPr>
            <w:tcW w:w="106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A73BB9"/>
        </w:tc>
        <w:tc>
          <w:tcPr>
            <w:tcW w:w="96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C6444"/>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ADD495"/>
        </w:tc>
        <w:tc>
          <w:tcPr>
            <w:tcW w:w="10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C0110"/>
        </w:tc>
        <w:tc>
          <w:tcPr>
            <w:tcW w:w="9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18832"/>
        </w:tc>
      </w:tr>
      <w:tr w14:paraId="422FC5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7C85C">
            <w:pPr>
              <w:pStyle w:val="19"/>
              <w:jc w:val="center"/>
            </w:pPr>
            <w:r>
              <w:rPr>
                <w:color w:val="000000"/>
                <w:sz w:val="20"/>
              </w:rPr>
              <w:t>服务态度良好（20分）</w:t>
            </w:r>
          </w:p>
        </w:tc>
        <w:tc>
          <w:tcPr>
            <w:tcW w:w="12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2102CF">
            <w:pPr>
              <w:pStyle w:val="19"/>
              <w:jc w:val="center"/>
            </w:pPr>
          </w:p>
        </w:tc>
        <w:tc>
          <w:tcPr>
            <w:tcW w:w="106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8A686F"/>
        </w:tc>
        <w:tc>
          <w:tcPr>
            <w:tcW w:w="96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52B7DE"/>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4591C6"/>
        </w:tc>
        <w:tc>
          <w:tcPr>
            <w:tcW w:w="10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910CB"/>
        </w:tc>
        <w:tc>
          <w:tcPr>
            <w:tcW w:w="9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89CEB3"/>
        </w:tc>
      </w:tr>
      <w:tr w14:paraId="1B1914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540"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2D2186">
            <w:pPr>
              <w:pStyle w:val="19"/>
              <w:jc w:val="center"/>
            </w:pPr>
            <w:r>
              <w:rPr>
                <w:color w:val="000000"/>
                <w:sz w:val="20"/>
              </w:rPr>
              <w:t>提供技术指导（20分）</w:t>
            </w:r>
          </w:p>
        </w:tc>
        <w:tc>
          <w:tcPr>
            <w:tcW w:w="12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0B2BA5">
            <w:pPr>
              <w:pStyle w:val="19"/>
              <w:jc w:val="center"/>
            </w:pPr>
          </w:p>
        </w:tc>
        <w:tc>
          <w:tcPr>
            <w:tcW w:w="106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FE97DD"/>
        </w:tc>
        <w:tc>
          <w:tcPr>
            <w:tcW w:w="96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56455"/>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AA65EA"/>
        </w:tc>
        <w:tc>
          <w:tcPr>
            <w:tcW w:w="10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2A698F"/>
        </w:tc>
        <w:tc>
          <w:tcPr>
            <w:tcW w:w="9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1362ED"/>
        </w:tc>
      </w:tr>
      <w:tr w14:paraId="34EF3B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B1EF8E">
            <w:pPr>
              <w:pStyle w:val="19"/>
              <w:jc w:val="center"/>
            </w:pPr>
            <w:r>
              <w:rPr>
                <w:color w:val="000000"/>
                <w:sz w:val="20"/>
              </w:rPr>
              <w:t>额外收费（20分）</w:t>
            </w:r>
          </w:p>
        </w:tc>
        <w:tc>
          <w:tcPr>
            <w:tcW w:w="12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25BAA3">
            <w:pPr>
              <w:pStyle w:val="19"/>
              <w:jc w:val="center"/>
            </w:pPr>
          </w:p>
        </w:tc>
        <w:tc>
          <w:tcPr>
            <w:tcW w:w="106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C2862"/>
        </w:tc>
        <w:tc>
          <w:tcPr>
            <w:tcW w:w="96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DDC7FD"/>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CC7E62"/>
        </w:tc>
        <w:tc>
          <w:tcPr>
            <w:tcW w:w="10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F5C8CE"/>
        </w:tc>
        <w:tc>
          <w:tcPr>
            <w:tcW w:w="9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A61BC"/>
        </w:tc>
      </w:tr>
      <w:tr w14:paraId="47BBBB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30D9C2">
            <w:pPr>
              <w:pStyle w:val="19"/>
              <w:jc w:val="center"/>
            </w:pPr>
            <w:r>
              <w:rPr>
                <w:color w:val="000000"/>
                <w:sz w:val="20"/>
              </w:rPr>
              <w:t>评价人员签名</w:t>
            </w:r>
          </w:p>
        </w:tc>
        <w:tc>
          <w:tcPr>
            <w:tcW w:w="123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FABCA5">
            <w:pPr>
              <w:pStyle w:val="19"/>
              <w:jc w:val="center"/>
            </w:pPr>
          </w:p>
        </w:tc>
        <w:tc>
          <w:tcPr>
            <w:tcW w:w="106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FAF25B"/>
        </w:tc>
        <w:tc>
          <w:tcPr>
            <w:tcW w:w="96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5512FB"/>
        </w:tc>
        <w:tc>
          <w:tcPr>
            <w:tcW w:w="10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9EEA65"/>
        </w:tc>
        <w:tc>
          <w:tcPr>
            <w:tcW w:w="10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C70404"/>
        </w:tc>
        <w:tc>
          <w:tcPr>
            <w:tcW w:w="9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BEBDFF"/>
        </w:tc>
      </w:tr>
      <w:tr w14:paraId="43AD00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BF352F">
            <w:pPr>
              <w:pStyle w:val="19"/>
              <w:jc w:val="center"/>
            </w:pPr>
            <w:r>
              <w:rPr>
                <w:color w:val="000000"/>
                <w:sz w:val="20"/>
              </w:rPr>
              <w:t>扣分情况说明</w:t>
            </w:r>
          </w:p>
        </w:tc>
        <w:tc>
          <w:tcPr>
            <w:tcW w:w="6391" w:type="dxa"/>
            <w:gridSpan w:val="9"/>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B3E6FA">
            <w:pPr>
              <w:pStyle w:val="19"/>
              <w:jc w:val="both"/>
            </w:pPr>
          </w:p>
        </w:tc>
      </w:tr>
      <w:tr w14:paraId="623521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3F8546">
            <w:pPr>
              <w:pStyle w:val="19"/>
              <w:jc w:val="both"/>
              <w:rPr>
                <w:rFonts w:hint="default" w:eastAsiaTheme="minorEastAsia"/>
                <w:lang w:val="en-US" w:eastAsia="zh-CN"/>
              </w:rPr>
            </w:pPr>
            <w:r>
              <w:rPr>
                <w:rFonts w:hint="eastAsia"/>
                <w:color w:val="0000FF"/>
                <w:sz w:val="20"/>
                <w:lang w:val="en-US" w:eastAsia="zh-CN"/>
              </w:rPr>
              <w:t>设备科工程师</w:t>
            </w:r>
          </w:p>
        </w:tc>
        <w:tc>
          <w:tcPr>
            <w:tcW w:w="6391" w:type="dxa"/>
            <w:gridSpan w:val="9"/>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546ADD">
            <w:pPr>
              <w:pStyle w:val="19"/>
              <w:jc w:val="left"/>
            </w:pPr>
            <w:r>
              <w:rPr>
                <w:color w:val="000000"/>
                <w:sz w:val="20"/>
              </w:rPr>
              <w:t>总得分：</w:t>
            </w:r>
            <w:r>
              <w:rPr>
                <w:color w:val="000000"/>
                <w:sz w:val="21"/>
                <w:u w:val="single"/>
              </w:rPr>
              <w:t xml:space="preserve">            </w:t>
            </w:r>
            <w:r>
              <w:rPr>
                <w:color w:val="000000"/>
                <w:sz w:val="21"/>
              </w:rPr>
              <w:t xml:space="preserve">             </w:t>
            </w:r>
          </w:p>
          <w:p w14:paraId="67F1B7CB">
            <w:pPr>
              <w:pStyle w:val="19"/>
              <w:ind w:firstLine="2800"/>
              <w:jc w:val="left"/>
            </w:pPr>
            <w:r>
              <w:rPr>
                <w:color w:val="000000"/>
                <w:sz w:val="20"/>
              </w:rPr>
              <w:t>签名：                   年    月    日</w:t>
            </w:r>
          </w:p>
        </w:tc>
      </w:tr>
      <w:tr w14:paraId="0F0F0C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069"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39351">
            <w:pPr>
              <w:pStyle w:val="19"/>
              <w:jc w:val="both"/>
            </w:pPr>
            <w:r>
              <w:rPr>
                <w:color w:val="000000"/>
                <w:sz w:val="20"/>
              </w:rPr>
              <w:t>设备科科长</w:t>
            </w:r>
          </w:p>
        </w:tc>
        <w:tc>
          <w:tcPr>
            <w:tcW w:w="6391" w:type="dxa"/>
            <w:gridSpan w:val="9"/>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1F0C032">
            <w:pPr>
              <w:pStyle w:val="19"/>
              <w:jc w:val="left"/>
            </w:pPr>
            <w:r>
              <w:rPr>
                <w:color w:val="000000"/>
                <w:sz w:val="20"/>
              </w:rPr>
              <w:t xml:space="preserve">考核意见：                     </w:t>
            </w:r>
          </w:p>
          <w:p w14:paraId="024120D1">
            <w:pPr>
              <w:pStyle w:val="19"/>
              <w:jc w:val="center"/>
            </w:pPr>
            <w:r>
              <w:rPr>
                <w:color w:val="000000"/>
                <w:sz w:val="20"/>
              </w:rPr>
              <w:t xml:space="preserve">                           签名：                   年    月    日</w:t>
            </w:r>
          </w:p>
        </w:tc>
      </w:tr>
    </w:tbl>
    <w:p w14:paraId="7528070D">
      <w:pPr>
        <w:pStyle w:val="19"/>
        <w:jc w:val="center"/>
      </w:pPr>
      <w:r>
        <w:rPr>
          <w:b/>
          <w:color w:val="000000"/>
          <w:sz w:val="24"/>
        </w:rPr>
        <w:t>填表说明</w:t>
      </w:r>
    </w:p>
    <w:p w14:paraId="687A1182">
      <w:pPr>
        <w:pStyle w:val="19"/>
        <w:numPr>
          <w:ilvl w:val="0"/>
          <w:numId w:val="9"/>
        </w:numPr>
      </w:pPr>
      <w:r>
        <w:rPr>
          <w:color w:val="000000"/>
          <w:sz w:val="24"/>
        </w:rPr>
        <w:t>1.考核表填写流程：公司根据合同内容自查、提交合同中履约材料（如保养、检测工单等）→主管工程师核实并填写评价→使用科室核实并填写评价（如服务范围涉及多个科室，应至少调查5临床科室）→凭此表、发票、合同办理付款。</w:t>
      </w:r>
    </w:p>
    <w:p w14:paraId="229EFAD7">
      <w:pPr>
        <w:pStyle w:val="19"/>
        <w:numPr>
          <w:ilvl w:val="0"/>
          <w:numId w:val="9"/>
        </w:numPr>
      </w:pPr>
      <w:r>
        <w:rPr>
          <w:color w:val="000000"/>
          <w:sz w:val="24"/>
        </w:rPr>
        <w:t>2.评价标准：</w:t>
      </w:r>
    </w:p>
    <w:p w14:paraId="244F57DE">
      <w:pPr>
        <w:pStyle w:val="19"/>
      </w:pPr>
      <w:r>
        <w:rPr>
          <w:color w:val="000000"/>
          <w:sz w:val="24"/>
        </w:rPr>
        <w:t>（1）客观评价不符合者，待所有项目达标后再次开展考核。</w:t>
      </w:r>
    </w:p>
    <w:p w14:paraId="22A63F72">
      <w:pPr>
        <w:pStyle w:val="19"/>
      </w:pPr>
      <w:r>
        <w:rPr>
          <w:color w:val="000000"/>
          <w:sz w:val="24"/>
        </w:rPr>
        <w:t>（2）客观评价通过后，开展主观评价考核。主观评价得分标准：</w:t>
      </w:r>
    </w:p>
    <w:p w14:paraId="489AD49A">
      <w:pPr>
        <w:pStyle w:val="19"/>
        <w:ind w:firstLine="720"/>
      </w:pPr>
      <w:r>
        <w:rPr>
          <w:color w:val="000000"/>
          <w:sz w:val="24"/>
        </w:rPr>
        <w:t>得分≥90分，支付该期应付款100% ；</w:t>
      </w:r>
    </w:p>
    <w:p w14:paraId="16BAA490">
      <w:pPr>
        <w:pStyle w:val="19"/>
        <w:ind w:firstLine="720"/>
      </w:pPr>
      <w:r>
        <w:rPr>
          <w:color w:val="000000"/>
          <w:sz w:val="24"/>
        </w:rPr>
        <w:t>80≦得分&lt;90，则每减少1分，扣减当期1%应付款；</w:t>
      </w:r>
    </w:p>
    <w:p w14:paraId="7FF68E74">
      <w:pPr>
        <w:pStyle w:val="19"/>
        <w:ind w:firstLine="720"/>
      </w:pPr>
      <w:r>
        <w:rPr>
          <w:color w:val="000000"/>
          <w:sz w:val="24"/>
        </w:rPr>
        <w:t>70≦得分&lt;80分，支付该期应付款50% ；</w:t>
      </w:r>
    </w:p>
    <w:p w14:paraId="1C2BF8D3">
      <w:pPr>
        <w:pStyle w:val="19"/>
        <w:ind w:firstLine="720"/>
      </w:pPr>
      <w:r>
        <w:rPr>
          <w:color w:val="000000"/>
          <w:sz w:val="24"/>
        </w:rPr>
        <w:t>得分低于70分，考核不合格，不允支付该期应付款。</w:t>
      </w:r>
    </w:p>
    <w:p w14:paraId="382F6043">
      <w:pPr>
        <w:pStyle w:val="19"/>
      </w:pPr>
      <w:r>
        <w:rPr>
          <w:color w:val="000000"/>
          <w:sz w:val="24"/>
        </w:rPr>
        <w:t>注：对于90分以下，评分人应详细说明扣分原因。</w:t>
      </w:r>
    </w:p>
    <w:p w14:paraId="73584FF8">
      <w:pPr>
        <w:pStyle w:val="19"/>
      </w:pPr>
      <w:r>
        <w:rPr>
          <w:color w:val="000000"/>
          <w:sz w:val="24"/>
        </w:rPr>
        <w:t>3.工程师负责部分由主管工程师填写，使用科室由护士长/科室负责人填写</w:t>
      </w:r>
    </w:p>
    <w:p w14:paraId="3EA1E8CC">
      <w:pPr>
        <w:pStyle w:val="19"/>
        <w:rPr>
          <w:color w:val="0000FF"/>
        </w:rPr>
      </w:pPr>
      <w:r>
        <w:rPr>
          <w:color w:val="0000FF"/>
          <w:sz w:val="24"/>
        </w:rPr>
        <w:t>4. 维保期间如有修改以最新版为准。</w:t>
      </w:r>
    </w:p>
    <w:p w14:paraId="6E5AC19F">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106" w:line="360" w:lineRule="auto"/>
        <w:textAlignment w:val="baseline"/>
        <w:rPr>
          <w:rFonts w:hint="eastAsia" w:ascii="仿宋" w:hAnsi="仿宋" w:eastAsia="仿宋" w:cs="仿宋"/>
          <w:color w:val="000000"/>
          <w:sz w:val="24"/>
        </w:rPr>
      </w:pPr>
      <w:r>
        <w:rPr>
          <w:color w:val="0000FF"/>
        </w:rPr>
        <w:t>（本条不纳入技术参数的评审项）</w:t>
      </w:r>
    </w:p>
    <w:p w14:paraId="007F0665">
      <w:pPr>
        <w:pStyle w:val="5"/>
        <w:keepNext w:val="0"/>
        <w:keepLines w:val="0"/>
        <w:pageBreakBefore w:val="0"/>
        <w:widowControl/>
        <w:kinsoku w:val="0"/>
        <w:wordWrap/>
        <w:overflowPunct/>
        <w:topLinePunct w:val="0"/>
        <w:autoSpaceDE w:val="0"/>
        <w:autoSpaceDN w:val="0"/>
        <w:bidi w:val="0"/>
        <w:adjustRightInd w:val="0"/>
        <w:snapToGrid w:val="0"/>
        <w:spacing w:before="275" w:line="360" w:lineRule="auto"/>
        <w:ind w:left="578"/>
        <w:textAlignment w:val="baseline"/>
        <w:outlineLvl w:val="0"/>
        <w:rPr>
          <w:rFonts w:hint="eastAsia" w:ascii="仿宋" w:hAnsi="仿宋" w:eastAsia="仿宋" w:cs="仿宋"/>
          <w:b/>
          <w:bCs/>
          <w:color w:val="auto"/>
          <w:spacing w:val="-2"/>
          <w:sz w:val="24"/>
          <w:szCs w:val="24"/>
          <w:highlight w:val="none"/>
          <w:lang w:val="en-US" w:eastAsia="en-US"/>
        </w:rPr>
      </w:pPr>
      <w:r>
        <w:rPr>
          <w:rFonts w:hint="eastAsia" w:ascii="仿宋" w:hAnsi="仿宋" w:eastAsia="仿宋" w:cs="仿宋"/>
          <w:b/>
          <w:bCs/>
          <w:color w:val="auto"/>
          <w:spacing w:val="-2"/>
          <w:sz w:val="24"/>
          <w:szCs w:val="24"/>
          <w:highlight w:val="none"/>
          <w:lang w:val="en-US" w:eastAsia="en-US"/>
        </w:rPr>
        <w:t>五、投标报价要求</w:t>
      </w:r>
    </w:p>
    <w:p w14:paraId="0785E376">
      <w:pPr>
        <w:keepNext w:val="0"/>
        <w:keepLines w:val="0"/>
        <w:pageBreakBefore w:val="0"/>
        <w:widowControl/>
        <w:kinsoku w:val="0"/>
        <w:wordWrap/>
        <w:overflowPunct/>
        <w:topLinePunct w:val="0"/>
        <w:autoSpaceDE w:val="0"/>
        <w:autoSpaceDN w:val="0"/>
        <w:bidi w:val="0"/>
        <w:adjustRightInd w:val="0"/>
        <w:snapToGrid w:val="0"/>
        <w:spacing w:before="216" w:line="360" w:lineRule="auto"/>
        <w:ind w:left="204"/>
        <w:textAlignment w:val="baseline"/>
        <w:rPr>
          <w:rFonts w:hint="eastAsia" w:ascii="仿宋" w:hAnsi="仿宋" w:eastAsia="仿宋" w:cs="仿宋"/>
          <w:snapToGrid w:val="0"/>
          <w:color w:val="auto"/>
          <w:spacing w:val="6"/>
          <w:kern w:val="0"/>
          <w:sz w:val="24"/>
          <w:szCs w:val="24"/>
          <w:highlight w:val="none"/>
          <w:lang w:val="en-US" w:eastAsia="en-US" w:bidi="ar-SA"/>
        </w:rPr>
      </w:pPr>
      <w:r>
        <w:rPr>
          <w:rFonts w:hint="eastAsia" w:ascii="仿宋" w:hAnsi="仿宋" w:eastAsia="仿宋" w:cs="仿宋"/>
          <w:snapToGrid w:val="0"/>
          <w:color w:val="auto"/>
          <w:spacing w:val="6"/>
          <w:kern w:val="0"/>
          <w:sz w:val="24"/>
          <w:szCs w:val="24"/>
          <w:highlight w:val="none"/>
          <w:lang w:val="en-US" w:eastAsia="en-US" w:bidi="ar-SA"/>
        </w:rPr>
        <w:t>(一)投标报价为含税价。</w:t>
      </w:r>
    </w:p>
    <w:p w14:paraId="46A9A044">
      <w:pPr>
        <w:keepNext w:val="0"/>
        <w:keepLines w:val="0"/>
        <w:pageBreakBefore w:val="0"/>
        <w:widowControl/>
        <w:kinsoku w:val="0"/>
        <w:wordWrap/>
        <w:overflowPunct/>
        <w:topLinePunct w:val="0"/>
        <w:autoSpaceDE w:val="0"/>
        <w:autoSpaceDN w:val="0"/>
        <w:bidi w:val="0"/>
        <w:adjustRightInd w:val="0"/>
        <w:snapToGrid w:val="0"/>
        <w:spacing w:before="201" w:line="360" w:lineRule="auto"/>
        <w:ind w:left="204"/>
        <w:textAlignment w:val="baseline"/>
        <w:rPr>
          <w:rFonts w:hint="eastAsia" w:ascii="仿宋" w:hAnsi="仿宋" w:eastAsia="仿宋" w:cs="仿宋"/>
          <w:snapToGrid w:val="0"/>
          <w:color w:val="auto"/>
          <w:spacing w:val="6"/>
          <w:kern w:val="0"/>
          <w:sz w:val="24"/>
          <w:szCs w:val="24"/>
          <w:highlight w:val="none"/>
          <w:lang w:val="en-US" w:eastAsia="en-US" w:bidi="ar-SA"/>
        </w:rPr>
      </w:pPr>
      <w:r>
        <w:rPr>
          <w:rFonts w:hint="eastAsia" w:ascii="仿宋" w:hAnsi="仿宋" w:eastAsia="仿宋" w:cs="仿宋"/>
          <w:snapToGrid w:val="0"/>
          <w:color w:val="auto"/>
          <w:spacing w:val="6"/>
          <w:kern w:val="0"/>
          <w:sz w:val="24"/>
          <w:szCs w:val="24"/>
          <w:highlight w:val="none"/>
          <w:lang w:val="en-US" w:eastAsia="en-US" w:bidi="ar-SA"/>
        </w:rPr>
        <w:t>(二)中标人须开具与投标文件中投标单位名称一致的发票。</w:t>
      </w:r>
    </w:p>
    <w:p w14:paraId="2121C49D">
      <w:pPr>
        <w:keepNext w:val="0"/>
        <w:keepLines w:val="0"/>
        <w:pageBreakBefore w:val="0"/>
        <w:widowControl/>
        <w:kinsoku w:val="0"/>
        <w:wordWrap/>
        <w:overflowPunct/>
        <w:topLinePunct w:val="0"/>
        <w:autoSpaceDE w:val="0"/>
        <w:autoSpaceDN w:val="0"/>
        <w:bidi w:val="0"/>
        <w:adjustRightInd w:val="0"/>
        <w:snapToGrid w:val="0"/>
        <w:spacing w:before="177" w:line="360" w:lineRule="auto"/>
        <w:ind w:left="204"/>
        <w:textAlignment w:val="baseline"/>
        <w:rPr>
          <w:rFonts w:hint="eastAsia" w:ascii="仿宋" w:hAnsi="仿宋" w:eastAsia="仿宋" w:cs="仿宋"/>
          <w:snapToGrid w:val="0"/>
          <w:color w:val="auto"/>
          <w:spacing w:val="6"/>
          <w:kern w:val="0"/>
          <w:sz w:val="24"/>
          <w:szCs w:val="24"/>
          <w:highlight w:val="none"/>
          <w:lang w:val="en-US" w:eastAsia="en-US" w:bidi="ar-SA"/>
        </w:rPr>
      </w:pPr>
      <w:r>
        <w:rPr>
          <w:rFonts w:hint="eastAsia" w:ascii="仿宋" w:hAnsi="仿宋" w:eastAsia="仿宋" w:cs="仿宋"/>
          <w:snapToGrid w:val="0"/>
          <w:color w:val="auto"/>
          <w:spacing w:val="6"/>
          <w:kern w:val="0"/>
          <w:sz w:val="24"/>
          <w:szCs w:val="24"/>
          <w:highlight w:val="none"/>
          <w:lang w:val="en-US" w:eastAsia="en-US" w:bidi="ar-SA"/>
        </w:rPr>
        <w:t>(三)缺项、漏项的报价为无效报价。</w:t>
      </w:r>
    </w:p>
    <w:p w14:paraId="3A80F6AB">
      <w:pPr>
        <w:keepNext w:val="0"/>
        <w:keepLines w:val="0"/>
        <w:pageBreakBefore w:val="0"/>
        <w:widowControl/>
        <w:kinsoku w:val="0"/>
        <w:wordWrap/>
        <w:overflowPunct/>
        <w:topLinePunct w:val="0"/>
        <w:autoSpaceDE w:val="0"/>
        <w:autoSpaceDN w:val="0"/>
        <w:bidi w:val="0"/>
        <w:adjustRightInd w:val="0"/>
        <w:snapToGrid w:val="0"/>
        <w:spacing w:before="177" w:line="360" w:lineRule="auto"/>
        <w:ind w:left="204"/>
        <w:textAlignment w:val="baseline"/>
        <w:rPr>
          <w:rFonts w:hint="eastAsia" w:ascii="仿宋" w:hAnsi="仿宋" w:eastAsia="仿宋" w:cs="仿宋"/>
          <w:snapToGrid w:val="0"/>
          <w:color w:val="auto"/>
          <w:spacing w:val="6"/>
          <w:kern w:val="0"/>
          <w:sz w:val="24"/>
          <w:szCs w:val="24"/>
          <w:highlight w:val="none"/>
          <w:lang w:val="en-US" w:eastAsia="en-US" w:bidi="ar-SA"/>
        </w:rPr>
      </w:pPr>
    </w:p>
    <w:p w14:paraId="5216A075">
      <w:pPr>
        <w:pStyle w:val="5"/>
        <w:keepNext w:val="0"/>
        <w:keepLines w:val="0"/>
        <w:pageBreakBefore w:val="0"/>
        <w:widowControl/>
        <w:kinsoku w:val="0"/>
        <w:wordWrap/>
        <w:overflowPunct/>
        <w:topLinePunct w:val="0"/>
        <w:autoSpaceDE w:val="0"/>
        <w:autoSpaceDN w:val="0"/>
        <w:bidi w:val="0"/>
        <w:adjustRightInd w:val="0"/>
        <w:snapToGrid w:val="0"/>
        <w:spacing w:before="275" w:line="360" w:lineRule="auto"/>
        <w:ind w:left="578"/>
        <w:textAlignment w:val="baseline"/>
        <w:outlineLvl w:val="0"/>
        <w:rPr>
          <w:rFonts w:hint="eastAsia" w:ascii="仿宋" w:hAnsi="仿宋" w:eastAsia="仿宋" w:cs="仿宋"/>
          <w:b/>
          <w:bCs/>
          <w:color w:val="auto"/>
          <w:spacing w:val="-2"/>
          <w:sz w:val="24"/>
          <w:szCs w:val="24"/>
          <w:highlight w:val="none"/>
          <w:lang w:val="en-US" w:eastAsia="en-US"/>
        </w:rPr>
      </w:pPr>
      <w:r>
        <w:rPr>
          <w:rFonts w:hint="eastAsia" w:ascii="仿宋" w:hAnsi="仿宋" w:eastAsia="仿宋" w:cs="仿宋"/>
          <w:b/>
          <w:bCs/>
          <w:color w:val="auto"/>
          <w:spacing w:val="-2"/>
          <w:sz w:val="24"/>
          <w:szCs w:val="24"/>
          <w:highlight w:val="none"/>
          <w:lang w:val="en-US" w:eastAsia="en-US"/>
        </w:rPr>
        <w:t>六、验 收</w:t>
      </w:r>
    </w:p>
    <w:p w14:paraId="03F186ED">
      <w:pPr>
        <w:keepNext w:val="0"/>
        <w:keepLines w:val="0"/>
        <w:pageBreakBefore w:val="0"/>
        <w:widowControl/>
        <w:kinsoku w:val="0"/>
        <w:wordWrap/>
        <w:overflowPunct/>
        <w:topLinePunct w:val="0"/>
        <w:autoSpaceDE w:val="0"/>
        <w:autoSpaceDN w:val="0"/>
        <w:bidi w:val="0"/>
        <w:adjustRightInd w:val="0"/>
        <w:snapToGrid w:val="0"/>
        <w:spacing w:before="234" w:line="360" w:lineRule="auto"/>
        <w:ind w:left="545"/>
        <w:textAlignment w:val="baseline"/>
        <w:rPr>
          <w:rFonts w:hint="eastAsia" w:ascii="仿宋" w:hAnsi="仿宋" w:eastAsia="仿宋" w:cs="仿宋"/>
          <w:snapToGrid w:val="0"/>
          <w:color w:val="auto"/>
          <w:spacing w:val="6"/>
          <w:kern w:val="0"/>
          <w:sz w:val="24"/>
          <w:szCs w:val="24"/>
          <w:highlight w:val="none"/>
          <w:lang w:val="en-US" w:eastAsia="en-US" w:bidi="ar-SA"/>
        </w:rPr>
      </w:pPr>
      <w:r>
        <w:rPr>
          <w:rFonts w:hint="eastAsia" w:ascii="仿宋" w:hAnsi="仿宋" w:eastAsia="仿宋" w:cs="仿宋"/>
          <w:snapToGrid w:val="0"/>
          <w:color w:val="auto"/>
          <w:spacing w:val="6"/>
          <w:kern w:val="0"/>
          <w:sz w:val="24"/>
          <w:szCs w:val="24"/>
          <w:highlight w:val="none"/>
          <w:lang w:val="en-US" w:eastAsia="en-US" w:bidi="ar-SA"/>
        </w:rPr>
        <w:t>中标人对设备维修保养后需提供纸质记录，并经采购人签字确认服务内容。</w:t>
      </w:r>
    </w:p>
    <w:p w14:paraId="5BC1A48F">
      <w:pPr>
        <w:pStyle w:val="5"/>
        <w:keepNext w:val="0"/>
        <w:keepLines w:val="0"/>
        <w:pageBreakBefore w:val="0"/>
        <w:widowControl/>
        <w:kinsoku w:val="0"/>
        <w:wordWrap/>
        <w:overflowPunct/>
        <w:topLinePunct w:val="0"/>
        <w:autoSpaceDE w:val="0"/>
        <w:autoSpaceDN w:val="0"/>
        <w:bidi w:val="0"/>
        <w:adjustRightInd w:val="0"/>
        <w:snapToGrid w:val="0"/>
        <w:spacing w:before="275" w:line="360" w:lineRule="auto"/>
        <w:ind w:left="578"/>
        <w:textAlignment w:val="baseline"/>
        <w:outlineLvl w:val="0"/>
        <w:rPr>
          <w:rFonts w:hint="default" w:ascii="仿宋" w:hAnsi="仿宋" w:eastAsia="仿宋" w:cs="仿宋"/>
          <w:b/>
          <w:color w:val="000000" w:themeColor="text1"/>
          <w:sz w:val="24"/>
          <w:lang w:val="en-US" w:eastAsia="zh-CN"/>
        </w:rPr>
      </w:pPr>
      <w:r>
        <w:rPr>
          <w:rFonts w:hint="eastAsia" w:ascii="仿宋" w:hAnsi="仿宋" w:eastAsia="仿宋" w:cs="仿宋"/>
          <w:b/>
          <w:bCs/>
          <w:color w:val="auto"/>
          <w:spacing w:val="-2"/>
          <w:sz w:val="24"/>
          <w:szCs w:val="24"/>
          <w:highlight w:val="none"/>
          <w:lang w:val="en-US" w:eastAsia="en-US"/>
        </w:rPr>
        <w:t>七、</w:t>
      </w:r>
      <w:r>
        <w:rPr>
          <w:rFonts w:hint="eastAsia" w:ascii="仿宋" w:hAnsi="仿宋" w:eastAsia="仿宋" w:cs="仿宋"/>
          <w:b/>
          <w:color w:val="FF0000"/>
          <w:sz w:val="24"/>
        </w:rPr>
        <w:t>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本合同的每笔款项以人民币转账方式支付，中标单位凭：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val="en-US" w:eastAsia="zh-CN"/>
        </w:rPr>
        <w:t>每季度考核表</w:t>
      </w:r>
      <w:r>
        <w:rPr>
          <w:rFonts w:hint="eastAsia" w:ascii="仿宋" w:hAnsi="仿宋" w:eastAsia="仿宋" w:cs="仿宋"/>
          <w:color w:val="000000" w:themeColor="text1"/>
          <w:sz w:val="24"/>
        </w:rPr>
        <w:t>（加盖采购人</w:t>
      </w:r>
      <w:r>
        <w:rPr>
          <w:rFonts w:hint="eastAsia" w:ascii="仿宋" w:hAnsi="仿宋" w:eastAsia="仿宋" w:cs="仿宋"/>
          <w:color w:val="000000" w:themeColor="text1"/>
          <w:sz w:val="24"/>
          <w:lang w:val="en-US" w:eastAsia="zh-CN"/>
        </w:rPr>
        <w:t>归口科室业务章</w:t>
      </w:r>
      <w:r>
        <w:rPr>
          <w:rFonts w:hint="eastAsia" w:ascii="仿宋" w:hAnsi="仿宋" w:eastAsia="仿宋" w:cs="仿宋"/>
          <w:color w:val="000000" w:themeColor="text1"/>
          <w:sz w:val="24"/>
        </w:rPr>
        <w:t>）；</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具体付款方式：</w:t>
      </w:r>
    </w:p>
    <w:p w14:paraId="64D624C7">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2.1、若本季度考核结果为“满意”，则</w:t>
      </w:r>
      <w:r>
        <w:rPr>
          <w:rFonts w:hint="eastAsia" w:ascii="仿宋" w:hAnsi="仿宋" w:eastAsia="仿宋" w:cs="仿宋"/>
          <w:color w:val="000000" w:themeColor="text1"/>
          <w:sz w:val="24"/>
          <w:lang w:eastAsia="zh-CN"/>
        </w:rPr>
        <w:t>季度末，乙方提供（合同总金额的100%÷（3年×4个季度)）的款项发票，甲方收到发票并审核无误后，支付该笔款项；</w:t>
      </w:r>
    </w:p>
    <w:p w14:paraId="15EAF1E9">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2.2、若本季度考核结果为“不满意”即低于80分，则与“80分”相比，每少1分，扣除壹仟元；</w:t>
      </w:r>
      <w:r>
        <w:rPr>
          <w:rFonts w:hint="eastAsia" w:ascii="仿宋" w:hAnsi="仿宋" w:eastAsia="仿宋" w:cs="仿宋"/>
          <w:color w:val="000000" w:themeColor="text1"/>
          <w:sz w:val="24"/>
          <w:lang w:eastAsia="zh-CN"/>
        </w:rPr>
        <w:t>乙方提供（合同总金额100%÷（3年×4个季度)</w:t>
      </w:r>
      <w:r>
        <w:rPr>
          <w:rFonts w:hint="eastAsia" w:ascii="仿宋" w:hAnsi="仿宋" w:eastAsia="仿宋" w:cs="仿宋"/>
          <w:color w:val="000000" w:themeColor="text1"/>
          <w:sz w:val="24"/>
          <w:lang w:val="en-US" w:eastAsia="zh-CN"/>
        </w:rPr>
        <w:t>-扣除金额</w:t>
      </w:r>
      <w:r>
        <w:rPr>
          <w:rFonts w:hint="eastAsia" w:ascii="仿宋" w:hAnsi="仿宋" w:eastAsia="仿宋" w:cs="仿宋"/>
          <w:color w:val="000000" w:themeColor="text1"/>
          <w:sz w:val="24"/>
          <w:lang w:eastAsia="zh-CN"/>
        </w:rPr>
        <w:t>）的</w:t>
      </w:r>
      <w:r>
        <w:rPr>
          <w:rFonts w:hint="eastAsia" w:ascii="仿宋" w:hAnsi="仿宋" w:eastAsia="仿宋" w:cs="仿宋"/>
          <w:color w:val="000000" w:themeColor="text1"/>
          <w:sz w:val="24"/>
          <w:lang w:val="en-US" w:eastAsia="zh-CN"/>
        </w:rPr>
        <w:t>季度</w:t>
      </w:r>
      <w:r>
        <w:rPr>
          <w:rFonts w:hint="eastAsia" w:ascii="仿宋" w:hAnsi="仿宋" w:eastAsia="仿宋" w:cs="仿宋"/>
          <w:color w:val="000000" w:themeColor="text1"/>
          <w:sz w:val="24"/>
          <w:lang w:eastAsia="zh-CN"/>
        </w:rPr>
        <w:t>款项发票，甲方收到发票并审核无误后，支付该笔款项。</w:t>
      </w:r>
    </w:p>
    <w:p w14:paraId="4C7EBED7">
      <w:pPr>
        <w:keepNext w:val="0"/>
        <w:keepLines w:val="0"/>
        <w:pageBreakBefore w:val="0"/>
        <w:widowControl/>
        <w:kinsoku w:val="0"/>
        <w:wordWrap/>
        <w:overflowPunct/>
        <w:topLinePunct w:val="0"/>
        <w:autoSpaceDE w:val="0"/>
        <w:autoSpaceDN w:val="0"/>
        <w:bidi w:val="0"/>
        <w:adjustRightInd w:val="0"/>
        <w:snapToGrid w:val="0"/>
        <w:spacing w:before="22" w:line="360" w:lineRule="auto"/>
        <w:ind w:left="54"/>
        <w:textAlignment w:val="baseline"/>
        <w:rPr>
          <w:rFonts w:hint="eastAsia" w:ascii="仿宋" w:hAnsi="仿宋" w:eastAsia="仿宋" w:cs="仿宋"/>
          <w:color w:val="FF0000"/>
          <w:sz w:val="24"/>
          <w:lang w:eastAsia="zh-CN"/>
        </w:rPr>
      </w:pPr>
      <w:r>
        <w:rPr>
          <w:rFonts w:hint="eastAsia" w:ascii="仿宋" w:hAnsi="仿宋" w:eastAsia="仿宋" w:cs="仿宋"/>
          <w:snapToGrid w:val="0"/>
          <w:color w:val="FF0000"/>
          <w:spacing w:val="6"/>
          <w:kern w:val="0"/>
          <w:sz w:val="24"/>
          <w:szCs w:val="24"/>
          <w:highlight w:val="none"/>
          <w:lang w:val="en-US" w:eastAsia="en-US" w:bidi="ar-SA"/>
        </w:rPr>
        <w:t>★</w:t>
      </w:r>
      <w:r>
        <w:rPr>
          <w:rFonts w:hint="eastAsia" w:ascii="仿宋" w:hAnsi="仿宋" w:eastAsia="仿宋" w:cs="仿宋"/>
          <w:snapToGrid w:val="0"/>
          <w:color w:val="FF0000"/>
          <w:spacing w:val="6"/>
          <w:kern w:val="0"/>
          <w:sz w:val="24"/>
          <w:szCs w:val="24"/>
          <w:highlight w:val="none"/>
          <w:lang w:val="en-US" w:eastAsia="zh-CN" w:bidi="ar-SA"/>
        </w:rPr>
        <w:t>3</w:t>
      </w:r>
      <w:r>
        <w:rPr>
          <w:rFonts w:hint="eastAsia" w:ascii="仿宋" w:hAnsi="仿宋" w:eastAsia="仿宋" w:cs="仿宋"/>
          <w:snapToGrid w:val="0"/>
          <w:color w:val="FF0000"/>
          <w:spacing w:val="6"/>
          <w:kern w:val="0"/>
          <w:sz w:val="24"/>
          <w:szCs w:val="24"/>
          <w:highlight w:val="none"/>
          <w:lang w:val="en-US" w:eastAsia="en-US" w:bidi="ar-SA"/>
        </w:rPr>
        <w:t>. 因任何原因所致维保期间设备报废，维保服务终止，按实际维保时间结算费用。</w:t>
      </w:r>
    </w:p>
    <w:p w14:paraId="08C0625C">
      <w:pPr>
        <w:keepNext w:val="0"/>
        <w:keepLines w:val="0"/>
        <w:pageBreakBefore w:val="0"/>
        <w:widowControl/>
        <w:kinsoku w:val="0"/>
        <w:wordWrap/>
        <w:overflowPunct/>
        <w:topLinePunct w:val="0"/>
        <w:autoSpaceDE w:val="0"/>
        <w:autoSpaceDN w:val="0"/>
        <w:bidi w:val="0"/>
        <w:adjustRightInd w:val="0"/>
        <w:snapToGrid w:val="0"/>
        <w:spacing w:before="22" w:line="360" w:lineRule="auto"/>
        <w:ind w:left="54"/>
        <w:textAlignment w:val="baseline"/>
        <w:rPr>
          <w:rFonts w:hint="eastAsia" w:ascii="仿宋" w:hAnsi="仿宋" w:eastAsia="仿宋" w:cs="仿宋"/>
          <w:snapToGrid w:val="0"/>
          <w:color w:val="auto"/>
          <w:spacing w:val="6"/>
          <w:kern w:val="0"/>
          <w:sz w:val="24"/>
          <w:szCs w:val="24"/>
          <w:highlight w:val="none"/>
          <w:lang w:val="en-US" w:eastAsia="en-US" w:bidi="ar-SA"/>
        </w:rPr>
      </w:pPr>
    </w:p>
    <w:p w14:paraId="1C7EE5AA">
      <w:pPr>
        <w:pStyle w:val="5"/>
        <w:keepNext w:val="0"/>
        <w:keepLines w:val="0"/>
        <w:pageBreakBefore w:val="0"/>
        <w:widowControl/>
        <w:kinsoku w:val="0"/>
        <w:wordWrap/>
        <w:overflowPunct/>
        <w:topLinePunct w:val="0"/>
        <w:autoSpaceDE w:val="0"/>
        <w:autoSpaceDN w:val="0"/>
        <w:bidi w:val="0"/>
        <w:adjustRightInd w:val="0"/>
        <w:snapToGrid w:val="0"/>
        <w:spacing w:before="275" w:line="360" w:lineRule="auto"/>
        <w:ind w:left="578"/>
        <w:textAlignment w:val="baseline"/>
        <w:outlineLvl w:val="0"/>
        <w:rPr>
          <w:rFonts w:hint="eastAsia" w:ascii="仿宋" w:hAnsi="仿宋" w:eastAsia="仿宋" w:cs="仿宋"/>
          <w:b/>
          <w:bCs/>
          <w:color w:val="auto"/>
          <w:spacing w:val="-2"/>
          <w:sz w:val="24"/>
          <w:szCs w:val="24"/>
          <w:highlight w:val="none"/>
          <w:lang w:val="en-US" w:eastAsia="en-US"/>
        </w:rPr>
      </w:pPr>
      <w:r>
        <w:rPr>
          <w:rFonts w:hint="eastAsia" w:ascii="仿宋" w:hAnsi="仿宋" w:eastAsia="仿宋" w:cs="仿宋"/>
          <w:b/>
          <w:bCs/>
          <w:color w:val="auto"/>
          <w:spacing w:val="-2"/>
          <w:sz w:val="24"/>
          <w:szCs w:val="24"/>
          <w:highlight w:val="none"/>
          <w:lang w:val="en-US" w:eastAsia="en-US"/>
        </w:rPr>
        <w:t>八、技术文件</w:t>
      </w:r>
    </w:p>
    <w:p w14:paraId="5349246B">
      <w:pPr>
        <w:keepNext w:val="0"/>
        <w:keepLines w:val="0"/>
        <w:pageBreakBefore w:val="0"/>
        <w:widowControl/>
        <w:kinsoku w:val="0"/>
        <w:wordWrap/>
        <w:overflowPunct/>
        <w:topLinePunct w:val="0"/>
        <w:autoSpaceDE w:val="0"/>
        <w:autoSpaceDN w:val="0"/>
        <w:bidi w:val="0"/>
        <w:adjustRightInd w:val="0"/>
        <w:snapToGrid w:val="0"/>
        <w:spacing w:before="267" w:line="360" w:lineRule="auto"/>
        <w:ind w:left="545"/>
        <w:textAlignment w:val="baseline"/>
        <w:rPr>
          <w:rFonts w:hint="eastAsia" w:ascii="仿宋" w:hAnsi="仿宋" w:eastAsia="仿宋" w:cs="仿宋"/>
          <w:snapToGrid w:val="0"/>
          <w:color w:val="auto"/>
          <w:spacing w:val="6"/>
          <w:kern w:val="0"/>
          <w:sz w:val="24"/>
          <w:szCs w:val="24"/>
          <w:highlight w:val="none"/>
          <w:lang w:val="en-US" w:eastAsia="en-US" w:bidi="ar-SA"/>
        </w:rPr>
      </w:pPr>
      <w:r>
        <w:rPr>
          <w:rFonts w:hint="eastAsia" w:ascii="仿宋" w:hAnsi="仿宋" w:eastAsia="仿宋" w:cs="仿宋"/>
          <w:snapToGrid w:val="0"/>
          <w:color w:val="auto"/>
          <w:spacing w:val="6"/>
          <w:kern w:val="0"/>
          <w:sz w:val="24"/>
          <w:szCs w:val="24"/>
          <w:highlight w:val="none"/>
          <w:lang w:val="en-US" w:eastAsia="en-US" w:bidi="ar-SA"/>
        </w:rPr>
        <w:t>投标人应提供包括但不限于所供应产品的使用和维护的技术文件。</w:t>
      </w:r>
    </w:p>
    <w:p w14:paraId="7BAD32BA">
      <w:pPr>
        <w:pStyle w:val="5"/>
        <w:keepNext w:val="0"/>
        <w:keepLines w:val="0"/>
        <w:pageBreakBefore w:val="0"/>
        <w:widowControl/>
        <w:kinsoku w:val="0"/>
        <w:wordWrap/>
        <w:overflowPunct/>
        <w:topLinePunct w:val="0"/>
        <w:autoSpaceDE w:val="0"/>
        <w:autoSpaceDN w:val="0"/>
        <w:bidi w:val="0"/>
        <w:adjustRightInd w:val="0"/>
        <w:snapToGrid w:val="0"/>
        <w:spacing w:before="275" w:line="360" w:lineRule="auto"/>
        <w:ind w:left="578"/>
        <w:textAlignment w:val="baseline"/>
        <w:outlineLvl w:val="0"/>
        <w:rPr>
          <w:rFonts w:hint="eastAsia" w:ascii="仿宋" w:hAnsi="仿宋" w:eastAsia="仿宋" w:cs="仿宋"/>
          <w:b/>
          <w:bCs/>
          <w:color w:val="auto"/>
          <w:spacing w:val="-2"/>
          <w:sz w:val="24"/>
          <w:szCs w:val="24"/>
          <w:highlight w:val="none"/>
          <w:lang w:val="en-US" w:eastAsia="en-US"/>
        </w:rPr>
      </w:pPr>
      <w:r>
        <w:rPr>
          <w:rFonts w:hint="eastAsia" w:ascii="仿宋" w:hAnsi="仿宋" w:eastAsia="仿宋" w:cs="仿宋"/>
          <w:b/>
          <w:bCs/>
          <w:color w:val="auto"/>
          <w:spacing w:val="-2"/>
          <w:sz w:val="24"/>
          <w:szCs w:val="24"/>
          <w:highlight w:val="none"/>
          <w:lang w:val="en-US" w:eastAsia="en-US"/>
        </w:rPr>
        <w:t>九、采购人配合条件</w:t>
      </w:r>
    </w:p>
    <w:p w14:paraId="77E8FF6E">
      <w:pPr>
        <w:keepNext w:val="0"/>
        <w:keepLines w:val="0"/>
        <w:pageBreakBefore w:val="0"/>
        <w:widowControl/>
        <w:kinsoku w:val="0"/>
        <w:wordWrap/>
        <w:overflowPunct/>
        <w:topLinePunct w:val="0"/>
        <w:autoSpaceDE w:val="0"/>
        <w:autoSpaceDN w:val="0"/>
        <w:bidi w:val="0"/>
        <w:adjustRightInd w:val="0"/>
        <w:snapToGrid w:val="0"/>
        <w:spacing w:before="189" w:line="360" w:lineRule="auto"/>
        <w:ind w:left="54" w:right="399" w:firstLine="490"/>
        <w:jc w:val="both"/>
        <w:textAlignment w:val="baseline"/>
        <w:rPr>
          <w:rFonts w:hint="eastAsia" w:ascii="仿宋" w:hAnsi="仿宋" w:eastAsia="仿宋" w:cs="仿宋"/>
          <w:color w:val="auto"/>
          <w:sz w:val="24"/>
          <w:highlight w:val="none"/>
          <w:lang w:val="zh-CN"/>
        </w:rPr>
      </w:pPr>
      <w:r>
        <w:rPr>
          <w:rFonts w:hint="eastAsia" w:ascii="仿宋" w:hAnsi="仿宋" w:eastAsia="仿宋" w:cs="仿宋"/>
          <w:snapToGrid w:val="0"/>
          <w:color w:val="auto"/>
          <w:spacing w:val="6"/>
          <w:kern w:val="0"/>
          <w:sz w:val="24"/>
          <w:szCs w:val="24"/>
          <w:highlight w:val="none"/>
          <w:lang w:val="en-US" w:eastAsia="en-US" w:bidi="ar-SA"/>
        </w:rPr>
        <w:t>投标人在投标文件中可列明在项目实施过程中需采购人提供的配合条件。所列配合条件采购人将尽量配合解决，但不代表采购人全部接受，采购人有权全部或部分拒绝投标人提出的</w:t>
      </w:r>
      <w:r>
        <w:rPr>
          <w:rFonts w:hint="eastAsia" w:ascii="仿宋" w:hAnsi="仿宋" w:eastAsia="仿宋" w:cs="仿宋"/>
          <w:snapToGrid w:val="0"/>
          <w:color w:val="auto"/>
          <w:spacing w:val="6"/>
          <w:kern w:val="0"/>
          <w:sz w:val="24"/>
          <w:szCs w:val="24"/>
          <w:highlight w:val="none"/>
          <w:lang w:val="en-US" w:eastAsia="zh-CN" w:bidi="ar-SA"/>
        </w:rPr>
        <w:t>配合。</w:t>
      </w:r>
    </w:p>
    <w:p w14:paraId="1AE4478F">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106" w:line="360" w:lineRule="auto"/>
        <w:ind w:firstLine="420" w:firstLineChars="0"/>
        <w:textAlignment w:val="baseline"/>
        <w:rPr>
          <w:color w:val="auto"/>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A4D3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E37E9"/>
    <w:multiLevelType w:val="multilevel"/>
    <w:tmpl w:val="855E37E9"/>
    <w:lvl w:ilvl="0" w:tentative="0">
      <w:start w:val="3"/>
      <w:numFmt w:val="decimal"/>
      <w:lvlText w:val="%1."/>
      <w:lvlJc w:val="left"/>
      <w:pPr>
        <w:ind w:left="425" w:hanging="425"/>
      </w:pPr>
      <w:rPr>
        <w:rFonts w:hint="default"/>
      </w:rPr>
    </w:lvl>
    <w:lvl w:ilvl="1" w:tentative="0">
      <w:start w:val="1"/>
      <w:numFmt w:val="decimal"/>
      <w:lvlText w:val="%1.%2."/>
      <w:lvlJc w:val="left"/>
      <w:pPr>
        <w:ind w:left="567" w:firstLine="0"/>
      </w:pPr>
      <w:rPr>
        <w:rFonts w:hint="default"/>
      </w:rPr>
    </w:lvl>
    <w:lvl w:ilvl="2" w:tentative="0">
      <w:start w:val="3"/>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DFEFD11"/>
    <w:multiLevelType w:val="singleLevel"/>
    <w:tmpl w:val="8DFEFD11"/>
    <w:lvl w:ilvl="0" w:tentative="0">
      <w:start w:val="9"/>
      <w:numFmt w:val="decimal"/>
      <w:suff w:val="nothing"/>
      <w:lvlText w:val="%1、"/>
      <w:lvlJc w:val="left"/>
    </w:lvl>
  </w:abstractNum>
  <w:abstractNum w:abstractNumId="2">
    <w:nsid w:val="C0D0AD74"/>
    <w:multiLevelType w:val="singleLevel"/>
    <w:tmpl w:val="C0D0AD74"/>
    <w:lvl w:ilvl="0" w:tentative="0">
      <w:start w:val="1"/>
      <w:numFmt w:val="decimal"/>
      <w:lvlText w:val="%1."/>
      <w:lvlJc w:val="left"/>
      <w:pPr>
        <w:tabs>
          <w:tab w:val="left" w:pos="312"/>
        </w:tabs>
      </w:pPr>
    </w:lvl>
  </w:abstractNum>
  <w:abstractNum w:abstractNumId="3">
    <w:nsid w:val="CD7A8258"/>
    <w:multiLevelType w:val="multilevel"/>
    <w:tmpl w:val="CD7A8258"/>
    <w:lvl w:ilvl="0" w:tentative="0">
      <w:start w:val="4"/>
      <w:numFmt w:val="decimal"/>
      <w:lvlText w:val="%1."/>
      <w:lvlJc w:val="left"/>
      <w:pPr>
        <w:ind w:left="425" w:hanging="425"/>
      </w:pPr>
      <w:rPr>
        <w:rFonts w:hint="default"/>
      </w:rPr>
    </w:lvl>
    <w:lvl w:ilvl="1" w:tentative="0">
      <w:start w:val="1"/>
      <w:numFmt w:val="decimal"/>
      <w:lvlText w:val="%1.%2."/>
      <w:lvlJc w:val="left"/>
      <w:pPr>
        <w:ind w:left="587" w:leftChars="0" w:hanging="56"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D44510B9"/>
    <w:multiLevelType w:val="singleLevel"/>
    <w:tmpl w:val="D44510B9"/>
    <w:lvl w:ilvl="0" w:tentative="0">
      <w:start w:val="1"/>
      <w:numFmt w:val="decimal"/>
      <w:lvlText w:val="%1."/>
      <w:lvlJc w:val="left"/>
      <w:pPr>
        <w:ind w:left="425" w:hanging="425"/>
      </w:pPr>
      <w:rPr>
        <w:rFonts w:hint="default"/>
      </w:rPr>
    </w:lvl>
  </w:abstractNum>
  <w:abstractNum w:abstractNumId="5">
    <w:nsid w:val="0053208E"/>
    <w:multiLevelType w:val="singleLevel"/>
    <w:tmpl w:val="0053208E"/>
    <w:lvl w:ilvl="0" w:tentative="0">
      <w:start w:val="1"/>
      <w:numFmt w:val="bullet"/>
      <w:lvlText w:val=""/>
      <w:lvlJc w:val="left"/>
      <w:pPr>
        <w:ind w:left="0"/>
      </w:pPr>
      <w:rPr>
        <w:rFonts w:hint="default" w:ascii="Wingdings" w:hAnsi="Wingdings"/>
      </w:rPr>
    </w:lvl>
  </w:abstractNum>
  <w:abstractNum w:abstractNumId="6">
    <w:nsid w:val="18FE7C1D"/>
    <w:multiLevelType w:val="singleLevel"/>
    <w:tmpl w:val="18FE7C1D"/>
    <w:lvl w:ilvl="0" w:tentative="0">
      <w:start w:val="1"/>
      <w:numFmt w:val="decimal"/>
      <w:lvlText w:val="%1."/>
      <w:lvlJc w:val="left"/>
      <w:pPr>
        <w:tabs>
          <w:tab w:val="left" w:pos="312"/>
        </w:tabs>
      </w:pPr>
    </w:lvl>
  </w:abstractNum>
  <w:abstractNum w:abstractNumId="7">
    <w:nsid w:val="1E7E8738"/>
    <w:multiLevelType w:val="singleLevel"/>
    <w:tmpl w:val="1E7E8738"/>
    <w:lvl w:ilvl="0" w:tentative="0">
      <w:start w:val="1"/>
      <w:numFmt w:val="chineseCounting"/>
      <w:suff w:val="nothing"/>
      <w:lvlText w:val="%1、"/>
      <w:lvlJc w:val="left"/>
      <w:pPr>
        <w:ind w:left="420"/>
      </w:pPr>
      <w:rPr>
        <w:rFonts w:hint="eastAsia"/>
      </w:rPr>
    </w:lvl>
  </w:abstractNum>
  <w:abstractNum w:abstractNumId="8">
    <w:nsid w:val="3CC1C2D7"/>
    <w:multiLevelType w:val="singleLevel"/>
    <w:tmpl w:val="3CC1C2D7"/>
    <w:lvl w:ilvl="0" w:tentative="0">
      <w:start w:val="1"/>
      <w:numFmt w:val="chineseCounting"/>
      <w:suff w:val="nothing"/>
      <w:lvlText w:val="%1、"/>
      <w:lvlJc w:val="left"/>
      <w:rPr>
        <w:rFonts w:hint="eastAsia"/>
      </w:rPr>
    </w:lvl>
  </w:abstractNum>
  <w:num w:numId="1">
    <w:abstractNumId w:val="6"/>
  </w:num>
  <w:num w:numId="2">
    <w:abstractNumId w:val="8"/>
  </w:num>
  <w:num w:numId="3">
    <w:abstractNumId w:val="4"/>
  </w:num>
  <w:num w:numId="4">
    <w:abstractNumId w:val="7"/>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079E"/>
    <w:rsid w:val="00F77392"/>
    <w:rsid w:val="01C15ED7"/>
    <w:rsid w:val="01E933D0"/>
    <w:rsid w:val="04C2183F"/>
    <w:rsid w:val="05AE53ED"/>
    <w:rsid w:val="07620875"/>
    <w:rsid w:val="0A1B7B8C"/>
    <w:rsid w:val="0B983A11"/>
    <w:rsid w:val="0BB21C5B"/>
    <w:rsid w:val="0C583667"/>
    <w:rsid w:val="0D55237A"/>
    <w:rsid w:val="0E7F5FDD"/>
    <w:rsid w:val="0EDA5F4A"/>
    <w:rsid w:val="11215D00"/>
    <w:rsid w:val="116F5E3C"/>
    <w:rsid w:val="11BE7D21"/>
    <w:rsid w:val="122A09C9"/>
    <w:rsid w:val="125151D8"/>
    <w:rsid w:val="1264085D"/>
    <w:rsid w:val="13092ED6"/>
    <w:rsid w:val="137C3E61"/>
    <w:rsid w:val="152E75A3"/>
    <w:rsid w:val="15877D00"/>
    <w:rsid w:val="15DD12EB"/>
    <w:rsid w:val="15FB5391"/>
    <w:rsid w:val="16667C55"/>
    <w:rsid w:val="16AC3025"/>
    <w:rsid w:val="18197B20"/>
    <w:rsid w:val="182F3FFC"/>
    <w:rsid w:val="184F47E9"/>
    <w:rsid w:val="195B4CD4"/>
    <w:rsid w:val="19F434AB"/>
    <w:rsid w:val="19F46800"/>
    <w:rsid w:val="1A4E463B"/>
    <w:rsid w:val="1AC04D91"/>
    <w:rsid w:val="1B9B3432"/>
    <w:rsid w:val="1BF47719"/>
    <w:rsid w:val="1C5D648C"/>
    <w:rsid w:val="1F96177A"/>
    <w:rsid w:val="20372DFC"/>
    <w:rsid w:val="206831B1"/>
    <w:rsid w:val="22D309D5"/>
    <w:rsid w:val="23683A18"/>
    <w:rsid w:val="236E4FBD"/>
    <w:rsid w:val="23AE6D9F"/>
    <w:rsid w:val="23E7584F"/>
    <w:rsid w:val="250D3239"/>
    <w:rsid w:val="258D2337"/>
    <w:rsid w:val="268A1BB3"/>
    <w:rsid w:val="28BF1285"/>
    <w:rsid w:val="2A390639"/>
    <w:rsid w:val="2A885D27"/>
    <w:rsid w:val="2AA33888"/>
    <w:rsid w:val="2D5D7614"/>
    <w:rsid w:val="2D8169D8"/>
    <w:rsid w:val="2DBE4A06"/>
    <w:rsid w:val="2E712EDD"/>
    <w:rsid w:val="2EBD544A"/>
    <w:rsid w:val="2EE55694"/>
    <w:rsid w:val="2F176141"/>
    <w:rsid w:val="2F4263DE"/>
    <w:rsid w:val="2F980E41"/>
    <w:rsid w:val="2FB36F7C"/>
    <w:rsid w:val="32A966F2"/>
    <w:rsid w:val="33CD5810"/>
    <w:rsid w:val="34326E09"/>
    <w:rsid w:val="34AF794B"/>
    <w:rsid w:val="352058F9"/>
    <w:rsid w:val="35DF56B3"/>
    <w:rsid w:val="3652299F"/>
    <w:rsid w:val="36891F17"/>
    <w:rsid w:val="372135F9"/>
    <w:rsid w:val="397337AD"/>
    <w:rsid w:val="39AD7AFB"/>
    <w:rsid w:val="3A242BD4"/>
    <w:rsid w:val="3B150E18"/>
    <w:rsid w:val="3B856185"/>
    <w:rsid w:val="3C4108FF"/>
    <w:rsid w:val="3C5A7ECD"/>
    <w:rsid w:val="3C8138D7"/>
    <w:rsid w:val="3C963008"/>
    <w:rsid w:val="3CB2202B"/>
    <w:rsid w:val="3CF8165C"/>
    <w:rsid w:val="3E1A0157"/>
    <w:rsid w:val="3F196F49"/>
    <w:rsid w:val="3F310B59"/>
    <w:rsid w:val="407E146F"/>
    <w:rsid w:val="40C43099"/>
    <w:rsid w:val="41B0738E"/>
    <w:rsid w:val="42E42773"/>
    <w:rsid w:val="447A3E90"/>
    <w:rsid w:val="44E46F2F"/>
    <w:rsid w:val="45815466"/>
    <w:rsid w:val="45B122E0"/>
    <w:rsid w:val="474D22A8"/>
    <w:rsid w:val="47D67E4A"/>
    <w:rsid w:val="485E43E9"/>
    <w:rsid w:val="486B153B"/>
    <w:rsid w:val="489874E4"/>
    <w:rsid w:val="48B13657"/>
    <w:rsid w:val="48F40FCD"/>
    <w:rsid w:val="49141C2A"/>
    <w:rsid w:val="49353FAE"/>
    <w:rsid w:val="49FF2642"/>
    <w:rsid w:val="4A5847C1"/>
    <w:rsid w:val="4B386724"/>
    <w:rsid w:val="4C5940F9"/>
    <w:rsid w:val="4CE92AE1"/>
    <w:rsid w:val="4D3E32D4"/>
    <w:rsid w:val="4D51185E"/>
    <w:rsid w:val="4DFF7635"/>
    <w:rsid w:val="4EF626EF"/>
    <w:rsid w:val="4F4C0510"/>
    <w:rsid w:val="4FEB0AE2"/>
    <w:rsid w:val="4FEC0229"/>
    <w:rsid w:val="513F009D"/>
    <w:rsid w:val="516D03D0"/>
    <w:rsid w:val="51CA70EA"/>
    <w:rsid w:val="53223453"/>
    <w:rsid w:val="54B34A9B"/>
    <w:rsid w:val="54C41E6B"/>
    <w:rsid w:val="55AE4859"/>
    <w:rsid w:val="562C6AB3"/>
    <w:rsid w:val="56864F28"/>
    <w:rsid w:val="56AB1A08"/>
    <w:rsid w:val="58A75590"/>
    <w:rsid w:val="59480742"/>
    <w:rsid w:val="5AAA3BFD"/>
    <w:rsid w:val="5B576610"/>
    <w:rsid w:val="5B735BEC"/>
    <w:rsid w:val="5CEB018E"/>
    <w:rsid w:val="5D1761F3"/>
    <w:rsid w:val="5D4446FE"/>
    <w:rsid w:val="5EC71180"/>
    <w:rsid w:val="5F580C6B"/>
    <w:rsid w:val="5F8F08C0"/>
    <w:rsid w:val="5FA44E0F"/>
    <w:rsid w:val="5FE15E62"/>
    <w:rsid w:val="60182200"/>
    <w:rsid w:val="60872EF7"/>
    <w:rsid w:val="61F160E0"/>
    <w:rsid w:val="628D32EA"/>
    <w:rsid w:val="629D3C8C"/>
    <w:rsid w:val="62F87170"/>
    <w:rsid w:val="63895A12"/>
    <w:rsid w:val="644C371A"/>
    <w:rsid w:val="65EE62D4"/>
    <w:rsid w:val="6630477D"/>
    <w:rsid w:val="668E3985"/>
    <w:rsid w:val="66AF192B"/>
    <w:rsid w:val="6741119A"/>
    <w:rsid w:val="677850FC"/>
    <w:rsid w:val="68182791"/>
    <w:rsid w:val="685E210F"/>
    <w:rsid w:val="6AC879A3"/>
    <w:rsid w:val="6C1727C7"/>
    <w:rsid w:val="6C1D026B"/>
    <w:rsid w:val="6C851FDC"/>
    <w:rsid w:val="6DCA297E"/>
    <w:rsid w:val="6E7D7016"/>
    <w:rsid w:val="6EAD7EA5"/>
    <w:rsid w:val="6EE6418B"/>
    <w:rsid w:val="6F8010C8"/>
    <w:rsid w:val="6F957CEC"/>
    <w:rsid w:val="6FB54CDB"/>
    <w:rsid w:val="71F07CE7"/>
    <w:rsid w:val="7395275D"/>
    <w:rsid w:val="73A94275"/>
    <w:rsid w:val="7547180C"/>
    <w:rsid w:val="75B43BBF"/>
    <w:rsid w:val="760134AF"/>
    <w:rsid w:val="78EF7DAC"/>
    <w:rsid w:val="79070A07"/>
    <w:rsid w:val="7AFB2199"/>
    <w:rsid w:val="7B47043A"/>
    <w:rsid w:val="7B4C229B"/>
    <w:rsid w:val="7B69139A"/>
    <w:rsid w:val="7B6A77B1"/>
    <w:rsid w:val="7BB00769"/>
    <w:rsid w:val="7BDC306D"/>
    <w:rsid w:val="7C2A25DC"/>
    <w:rsid w:val="7C83261F"/>
    <w:rsid w:val="7C853D90"/>
    <w:rsid w:val="7CF1691A"/>
    <w:rsid w:val="7E494CBC"/>
    <w:rsid w:val="7E7B2990"/>
    <w:rsid w:val="7EB80F3B"/>
    <w:rsid w:val="7FEE32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5">
    <w:name w:val="Body Text"/>
    <w:basedOn w:val="1"/>
    <w:qFormat/>
    <w:uiPriority w:val="0"/>
    <w:pPr>
      <w:spacing w:after="120"/>
    </w:pPr>
  </w:style>
  <w:style w:type="paragraph" w:styleId="6">
    <w:name w:val="toc 5"/>
    <w:basedOn w:val="1"/>
    <w:next w:val="1"/>
    <w:qFormat/>
    <w:uiPriority w:val="0"/>
    <w:pPr>
      <w:ind w:left="1680" w:leftChars="8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semiHidden/>
    <w:unhideWhenUsed/>
    <w:qFormat/>
    <w:uiPriority w:val="99"/>
    <w:pPr>
      <w:spacing w:after="120" w:line="480" w:lineRule="auto"/>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Anrede1IhrZeichen"/>
    <w:basedOn w:val="12"/>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2"/>
    <w:link w:val="8"/>
    <w:qFormat/>
    <w:uiPriority w:val="0"/>
    <w:rPr>
      <w:rFonts w:ascii="Times New Roman" w:hAnsi="Times New Roman" w:eastAsia="宋体" w:cs="Times New Roman"/>
      <w:kern w:val="2"/>
      <w:sz w:val="18"/>
      <w:szCs w:val="18"/>
    </w:rPr>
  </w:style>
  <w:style w:type="paragraph" w:customStyle="1" w:styleId="17">
    <w:name w:val="Table Text"/>
    <w:basedOn w:val="1"/>
    <w:semiHidden/>
    <w:qFormat/>
    <w:uiPriority w:val="0"/>
    <w:rPr>
      <w:rFonts w:ascii="宋体" w:hAnsi="宋体" w:eastAsia="宋体" w:cs="宋体"/>
      <w:sz w:val="25"/>
      <w:szCs w:val="25"/>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3438</Words>
  <Characters>3667</Characters>
  <Lines>5</Lines>
  <Paragraphs>1</Paragraphs>
  <TotalTime>0</TotalTime>
  <ScaleCrop>false</ScaleCrop>
  <LinksUpToDate>false</LinksUpToDate>
  <CharactersWithSpaces>3862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2025-09-11T09:08:01Z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