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r w14:paraId="091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C046349">
            <w:pPr>
              <w:spacing w:line="360" w:lineRule="auto"/>
              <w:jc w:val="center"/>
              <w:rPr>
                <w:rFonts w:hint="eastAsia" w:ascii="宋体" w:eastAsia="宋体"/>
                <w:sz w:val="24"/>
                <w:lang w:val="en-US" w:eastAsia="zh-CN"/>
              </w:rPr>
            </w:pPr>
            <w:r>
              <w:rPr>
                <w:rFonts w:hint="eastAsia" w:ascii="宋体"/>
                <w:sz w:val="24"/>
              </w:rPr>
              <w:t>是否有</w:t>
            </w:r>
            <w:r>
              <w:rPr>
                <w:rFonts w:hint="eastAsia" w:ascii="宋体"/>
                <w:sz w:val="24"/>
                <w:lang w:val="en-US" w:eastAsia="zh-CN"/>
              </w:rPr>
              <w:t>易损件</w:t>
            </w:r>
          </w:p>
        </w:tc>
        <w:tc>
          <w:tcPr>
            <w:tcW w:w="5835" w:type="dxa"/>
          </w:tcPr>
          <w:p w14:paraId="5D0EF6EA">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4BA69075">
            <w:pPr>
              <w:pStyle w:val="3"/>
              <w:ind w:firstLine="0"/>
              <w:rPr>
                <w:rFonts w:hint="eastAsia"/>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w:t>
            </w:r>
            <w:r>
              <w:rPr>
                <w:rFonts w:hint="eastAsia"/>
                <w:color w:val="FF0000"/>
                <w:szCs w:val="21"/>
                <w:lang w:val="en-US" w:eastAsia="zh-CN"/>
              </w:rPr>
              <w:t>设备易损件报价单</w:t>
            </w:r>
            <w:r>
              <w:rPr>
                <w:rFonts w:hint="eastAsia"/>
                <w:color w:val="FF0000"/>
                <w:szCs w:val="21"/>
              </w:rPr>
              <w:t>）</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3686A52">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5A5A5" w:themeColor="background1" w:themeShade="A6"/>
                <w:kern w:val="2"/>
                <w:sz w:val="20"/>
                <w:szCs w:val="20"/>
                <w:shd w:val="clear" w:fill="auto"/>
                <w:lang w:val="en-US" w:eastAsia="zh-CN" w:bidi="ar-SA"/>
              </w:rPr>
            </w:pPr>
            <w:r>
              <w:rPr>
                <w:rFonts w:hint="eastAsia" w:ascii="仿宋_GB2312" w:hAnsi="宋体" w:eastAsia="仿宋_GB2312" w:cs="仿宋_GB2312"/>
                <w:color w:val="A5A5A5" w:themeColor="background1" w:themeShade="A6"/>
                <w:kern w:val="2"/>
                <w:sz w:val="20"/>
                <w:szCs w:val="20"/>
                <w:shd w:val="clear" w:fill="auto"/>
                <w:lang w:val="en-US" w:eastAsia="zh-CN" w:bidi="ar-SA"/>
              </w:rPr>
              <w:t>例：1、（GLU）葡萄糖250302001</w:t>
            </w:r>
          </w:p>
          <w:p w14:paraId="02E9DD4F">
            <w:pPr>
              <w:numPr>
                <w:ilvl w:val="0"/>
                <w:numId w:val="0"/>
              </w:numPr>
              <w:ind w:left="0" w:leftChars="0"/>
              <w:jc w:val="left"/>
              <w:rPr>
                <w:rFonts w:hint="default" w:ascii="仿宋_GB2312" w:hAnsi="宋体" w:eastAsia="仿宋_GB2312" w:cs="仿宋_GB2312"/>
                <w:color w:val="A5A5A5" w:themeColor="background1" w:themeShade="A6"/>
                <w:sz w:val="20"/>
                <w:szCs w:val="20"/>
                <w:shd w:val="clear" w:color="auto" w:fill="auto"/>
                <w:lang w:val="en-US" w:eastAsia="zh-CN"/>
              </w:rPr>
            </w:pPr>
            <w:r>
              <w:rPr>
                <w:rFonts w:hint="default" w:ascii="仿宋_GB2312" w:hAnsi="宋体" w:eastAsia="仿宋_GB2312" w:cs="仿宋_GB2312"/>
                <w:color w:val="A5A5A5" w:themeColor="background1" w:themeShade="A6"/>
                <w:kern w:val="2"/>
                <w:sz w:val="20"/>
                <w:szCs w:val="20"/>
                <w:shd w:val="clear" w:fill="auto"/>
                <w:lang w:val="en-US" w:eastAsia="zh-CN" w:bidi="ar-SA"/>
              </w:rPr>
              <w:t>2</w:t>
            </w:r>
            <w:r>
              <w:rPr>
                <w:rFonts w:hint="eastAsia" w:ascii="仿宋_GB2312" w:hAnsi="宋体" w:eastAsia="仿宋_GB2312" w:cs="仿宋_GB2312"/>
                <w:color w:val="A5A5A5" w:themeColor="background1" w:themeShade="A6"/>
                <w:kern w:val="2"/>
                <w:sz w:val="20"/>
                <w:szCs w:val="20"/>
                <w:shd w:val="clear" w:fill="auto"/>
                <w:lang w:val="en-US" w:eastAsia="zh-CN" w:bidi="ar-SA"/>
              </w:rPr>
              <w:t>、</w:t>
            </w:r>
            <w:r>
              <w:rPr>
                <w:rFonts w:hint="eastAsia" w:ascii="仿宋_GB2312" w:hAnsi="宋体" w:eastAsia="仿宋_GB2312" w:cs="仿宋_GB2312"/>
                <w:color w:val="A5A5A5" w:themeColor="background1" w:themeShade="A6"/>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color w:val="A5A5A5" w:themeColor="background1" w:themeShade="A6"/>
                <w:kern w:val="2"/>
                <w:sz w:val="28"/>
                <w:szCs w:val="24"/>
                <w:lang w:val="en-US" w:eastAsia="zh-CN" w:bidi="ar-SA"/>
              </w:rPr>
            </w:pPr>
            <w:r>
              <w:rPr>
                <w:rFonts w:hint="eastAsia" w:ascii="仿宋_GB2312" w:hAnsi="宋体" w:eastAsia="仿宋_GB2312" w:cs="仿宋_GB2312"/>
                <w:color w:val="A5A5A5" w:themeColor="background1" w:themeShade="A6"/>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422">
            <w:pPr>
              <w:pStyle w:val="4"/>
              <w:rPr>
                <w:rFonts w:hint="default"/>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32FC9975">
      <w:pPr>
        <w:spacing w:line="440" w:lineRule="exact"/>
        <w:rPr>
          <w:b/>
          <w:sz w:val="32"/>
          <w:szCs w:val="32"/>
        </w:rPr>
        <w:sectPr>
          <w:pgSz w:w="16838" w:h="11906" w:orient="landscape"/>
          <w:pgMar w:top="1800" w:right="1440" w:bottom="1800" w:left="1440" w:header="851" w:footer="992" w:gutter="0"/>
          <w:cols w:space="425" w:num="1"/>
          <w:docGrid w:type="lines" w:linePitch="312" w:charSpace="0"/>
        </w:sectPr>
      </w:pPr>
    </w:p>
    <w:p w14:paraId="3BFD0715">
      <w:pPr>
        <w:jc w:val="center"/>
        <w:rPr>
          <w:rFonts w:hint="eastAsia"/>
          <w:b/>
          <w:bCs/>
          <w:sz w:val="28"/>
          <w:szCs w:val="28"/>
          <w:lang w:val="en-US" w:eastAsia="zh-CN"/>
        </w:rPr>
      </w:pPr>
      <w:r>
        <w:rPr>
          <w:rFonts w:hint="eastAsia"/>
          <w:b/>
          <w:bCs/>
          <w:sz w:val="28"/>
          <w:szCs w:val="28"/>
          <w:lang w:val="en-US" w:eastAsia="zh-CN"/>
        </w:rPr>
        <w:t>设备易损件报价单</w:t>
      </w:r>
    </w:p>
    <w:p w14:paraId="5D007383">
      <w:pPr>
        <w:jc w:val="center"/>
        <w:rPr>
          <w:rFonts w:hint="eastAsia"/>
          <w:b/>
          <w:bCs/>
          <w:sz w:val="28"/>
          <w:szCs w:val="28"/>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435"/>
        <w:gridCol w:w="2762"/>
        <w:gridCol w:w="2965"/>
      </w:tblGrid>
      <w:tr w14:paraId="333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7B4E6FC4">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序号</w:t>
            </w:r>
          </w:p>
        </w:tc>
        <w:tc>
          <w:tcPr>
            <w:tcW w:w="5435" w:type="dxa"/>
          </w:tcPr>
          <w:p w14:paraId="75098461">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易损件名称</w:t>
            </w:r>
          </w:p>
        </w:tc>
        <w:tc>
          <w:tcPr>
            <w:tcW w:w="2762" w:type="dxa"/>
          </w:tcPr>
          <w:p w14:paraId="2342E3B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单价（元）</w:t>
            </w:r>
          </w:p>
        </w:tc>
        <w:tc>
          <w:tcPr>
            <w:tcW w:w="2965" w:type="dxa"/>
          </w:tcPr>
          <w:p w14:paraId="6676008E">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备注：（更换周期、使用年限）</w:t>
            </w:r>
          </w:p>
        </w:tc>
      </w:tr>
      <w:tr w14:paraId="500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7" w:type="dxa"/>
          </w:tcPr>
          <w:p w14:paraId="625A340A">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p>
        </w:tc>
        <w:tc>
          <w:tcPr>
            <w:tcW w:w="5435" w:type="dxa"/>
          </w:tcPr>
          <w:p w14:paraId="125923F9">
            <w:pPr>
              <w:widowControl/>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52220E26">
            <w:pPr>
              <w:widowControl/>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B4F6F91">
            <w:pPr>
              <w:widowControl/>
              <w:jc w:val="center"/>
              <w:textAlignment w:val="center"/>
              <w:rPr>
                <w:rFonts w:hint="default" w:ascii="仿宋_GB2312" w:hAnsi="宋体" w:eastAsia="仿宋_GB2312" w:cs="仿宋_GB2312"/>
                <w:color w:val="000000"/>
                <w:kern w:val="0"/>
                <w:sz w:val="20"/>
                <w:szCs w:val="20"/>
                <w:lang w:val="en-US" w:eastAsia="zh-CN"/>
              </w:rPr>
            </w:pPr>
          </w:p>
        </w:tc>
      </w:tr>
      <w:tr w14:paraId="2F5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7" w:type="dxa"/>
          </w:tcPr>
          <w:p w14:paraId="6C712B9B">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2</w:t>
            </w:r>
          </w:p>
        </w:tc>
        <w:tc>
          <w:tcPr>
            <w:tcW w:w="5435" w:type="dxa"/>
          </w:tcPr>
          <w:p w14:paraId="228DD4C7">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122A4C99">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6361211">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r>
    </w:tbl>
    <w:p w14:paraId="6E10218E">
      <w:pPr>
        <w:spacing w:line="440" w:lineRule="exact"/>
        <w:rPr>
          <w:rFonts w:hint="default"/>
          <w:b/>
          <w:sz w:val="32"/>
          <w:szCs w:val="32"/>
          <w:lang w:val="en-US" w:eastAsia="zh-CN"/>
        </w:rPr>
      </w:pPr>
    </w:p>
    <w:p w14:paraId="0CB32472">
      <w:pPr>
        <w:spacing w:line="360" w:lineRule="auto"/>
        <w:jc w:val="right"/>
        <w:rPr>
          <w:sz w:val="24"/>
        </w:rPr>
      </w:pPr>
      <w:r>
        <w:rPr>
          <w:rFonts w:hint="eastAsia"/>
          <w:sz w:val="24"/>
        </w:rPr>
        <w:t>报价公司（盖章）：</w:t>
      </w:r>
    </w:p>
    <w:p w14:paraId="40B6E1D1">
      <w:pPr>
        <w:spacing w:line="360" w:lineRule="auto"/>
        <w:jc w:val="right"/>
        <w:rPr>
          <w:sz w:val="24"/>
        </w:rPr>
      </w:pPr>
      <w:r>
        <w:rPr>
          <w:rFonts w:hint="eastAsia"/>
          <w:sz w:val="24"/>
        </w:rPr>
        <w:t>报价联系人：</w:t>
      </w:r>
    </w:p>
    <w:p w14:paraId="5A11604C">
      <w:pPr>
        <w:spacing w:line="360" w:lineRule="auto"/>
        <w:jc w:val="right"/>
        <w:rPr>
          <w:sz w:val="24"/>
        </w:rPr>
      </w:pPr>
      <w:r>
        <w:rPr>
          <w:rFonts w:hint="eastAsia"/>
          <w:sz w:val="24"/>
        </w:rPr>
        <w:t>联系方式：</w:t>
      </w:r>
    </w:p>
    <w:p w14:paraId="43FF556B">
      <w:pPr>
        <w:spacing w:line="360" w:lineRule="auto"/>
        <w:jc w:val="right"/>
        <w:rPr>
          <w:sz w:val="24"/>
        </w:rPr>
      </w:pPr>
      <w:r>
        <w:rPr>
          <w:rFonts w:hint="eastAsia"/>
          <w:sz w:val="24"/>
        </w:rPr>
        <w:t>邮箱：</w:t>
      </w:r>
    </w:p>
    <w:p w14:paraId="32B21FD0">
      <w:pPr>
        <w:pStyle w:val="3"/>
        <w:jc w:val="right"/>
        <w:rPr>
          <w:b/>
          <w:sz w:val="32"/>
          <w:szCs w:val="32"/>
        </w:rPr>
      </w:pPr>
      <w:r>
        <w:rPr>
          <w:rFonts w:hint="eastAsia"/>
          <w:sz w:val="24"/>
        </w:rPr>
        <w:t>报价时间：</w:t>
      </w:r>
    </w:p>
    <w:p w14:paraId="60318844">
      <w:pPr>
        <w:pStyle w:val="3"/>
        <w:rPr>
          <w:b/>
          <w:sz w:val="32"/>
          <w:szCs w:val="32"/>
        </w:rPr>
      </w:pPr>
    </w:p>
    <w:p w14:paraId="05E04871">
      <w:pPr>
        <w:pStyle w:val="3"/>
        <w:rPr>
          <w:b/>
          <w:sz w:val="32"/>
          <w:szCs w:val="32"/>
        </w:rPr>
      </w:pPr>
    </w:p>
    <w:p w14:paraId="1EE234BB">
      <w:pPr>
        <w:pStyle w:val="3"/>
        <w:rPr>
          <w:b/>
          <w:sz w:val="32"/>
          <w:szCs w:val="32"/>
        </w:rPr>
      </w:pPr>
    </w:p>
    <w:p w14:paraId="657EAD42">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20C46A67">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2792A449">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0452B41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7EE527B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577153C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2B989AF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77AD9835">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2129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2EB7322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3C77D3C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06C645E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4FE1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104C977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平衡评估与训练系统</w:t>
            </w:r>
          </w:p>
        </w:tc>
        <w:tc>
          <w:tcPr>
            <w:tcW w:w="1833" w:type="dxa"/>
          </w:tcPr>
          <w:p w14:paraId="54070A08">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头晕眩晕诊疗中心</w:t>
            </w:r>
          </w:p>
        </w:tc>
        <w:tc>
          <w:tcPr>
            <w:tcW w:w="2131" w:type="dxa"/>
          </w:tcPr>
          <w:p w14:paraId="178AF31A">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65BF749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核心产品：平衡评估与训练系统</w:t>
      </w:r>
    </w:p>
    <w:p w14:paraId="08C00BEF">
      <w:pPr>
        <w:spacing w:line="440" w:lineRule="exact"/>
        <w:rPr>
          <w:rFonts w:ascii="仿宋" w:hAnsi="仿宋" w:eastAsia="仿宋" w:cs="仿宋"/>
          <w:color w:val="000000" w:themeColor="text1"/>
          <w:sz w:val="24"/>
          <w14:textFill>
            <w14:solidFill>
              <w14:schemeClr w14:val="tx1"/>
            </w14:solidFill>
          </w14:textFill>
        </w:rPr>
      </w:pPr>
    </w:p>
    <w:p w14:paraId="14DD623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ascii="Segoe UI" w:hAnsi="Segoe UI" w:eastAsia="Segoe UI" w:cs="Segoe UI"/>
          <w:i w:val="0"/>
          <w:iCs w:val="0"/>
          <w:caps w:val="0"/>
          <w:spacing w:val="0"/>
          <w:sz w:val="24"/>
          <w:szCs w:val="24"/>
          <w:shd w:val="clear" w:fill="FFFFFF"/>
        </w:rPr>
        <w:t>适用于神经康复、骨科术后、老年防跌倒、运动损伤等场景，覆盖评估-训练-再评估全流程。</w:t>
      </w:r>
    </w:p>
    <w:p w14:paraId="05C71D74">
      <w:pPr>
        <w:spacing w:line="440" w:lineRule="exact"/>
        <w:rPr>
          <w:rFonts w:ascii="仿宋" w:hAnsi="仿宋" w:eastAsia="仿宋" w:cs="仿宋"/>
          <w:b/>
          <w:color w:val="000000" w:themeColor="text1"/>
          <w:sz w:val="24"/>
          <w14:textFill>
            <w14:solidFill>
              <w14:schemeClr w14:val="tx1"/>
            </w14:solidFill>
          </w14:textFill>
        </w:rPr>
      </w:pPr>
    </w:p>
    <w:p w14:paraId="70A359D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17347E1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1)电子倾斜板：直径</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55cm，单足、双足使用均可；</w:t>
      </w:r>
    </w:p>
    <w:p w14:paraId="613CF38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★2)最大倾斜角度±15°，精确度为±1°；可以多轴向运动，也可单轴向运动；倾斜角度可以软件操作，一键实现调整。</w:t>
      </w:r>
    </w:p>
    <w:p w14:paraId="5493F03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3)</w:t>
      </w:r>
      <w:r>
        <w:rPr>
          <w:rFonts w:hint="eastAsia" w:ascii="仿宋" w:hAnsi="仿宋" w:eastAsia="仿宋" w:cs="仿宋"/>
          <w:b w:val="0"/>
          <w:bCs/>
          <w:color w:val="auto"/>
          <w:sz w:val="24"/>
          <w:lang w:val="en-US" w:eastAsia="zh-CN"/>
        </w:rPr>
        <w:t>至少有</w:t>
      </w:r>
      <w:r>
        <w:rPr>
          <w:rFonts w:hint="eastAsia" w:ascii="仿宋" w:hAnsi="仿宋" w:eastAsia="仿宋" w:cs="仿宋"/>
          <w:b w:val="0"/>
          <w:bCs/>
          <w:color w:val="auto"/>
          <w:sz w:val="24"/>
        </w:rPr>
        <w:t>8根轴线将平板平均分成8个象限，每根轴线都有刻度标识，范围是0-22cm，用于脚放置时标记。</w:t>
      </w:r>
    </w:p>
    <w:p w14:paraId="2AB4B7A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4)空气动力装置：为电子倾斜板提供动力，前-后、左-右4个方位的阻力调节一键自动调节，动静态一键切换。</w:t>
      </w:r>
    </w:p>
    <w:p w14:paraId="47B575E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5)阻力范围：范围</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0-50级，数字越小电子倾斜板越灵活，灵敏度越高；反之，数字越大，板越稳定，灵敏度越低。</w:t>
      </w:r>
    </w:p>
    <w:p w14:paraId="4D603965">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6)负重能力：</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0.1-150kg。</w:t>
      </w:r>
    </w:p>
    <w:p w14:paraId="20C129BB">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★7)躯干传感器：可测角度±30°。用于标识身体部位，评估过程中会实时反馈角度变化情况，既可以防止代偿，也可以针对性评估训练。</w:t>
      </w:r>
    </w:p>
    <w:p w14:paraId="6CB20F01">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8)不锈钢扶手，三面环绕，高度为</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90cm，左右宽度为</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90cm，给用户充分的训练空间和保护；一面开放，方便患者上下设备。</w:t>
      </w:r>
    </w:p>
    <w:p w14:paraId="63AA82D2">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9)触屏显示器，尺寸：</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20英寸，方便操作，也可使用鼠标操作。显示器高度可调，范围为</w:t>
      </w:r>
      <w:r>
        <w:rPr>
          <w:rFonts w:hint="eastAsia" w:ascii="仿宋" w:hAnsi="仿宋" w:eastAsia="仿宋" w:cs="仿宋"/>
          <w:b w:val="0"/>
          <w:bCs/>
          <w:color w:val="auto"/>
          <w:sz w:val="24"/>
          <w:lang w:val="en-US" w:eastAsia="zh-CN"/>
        </w:rPr>
        <w:t>≥0-</w:t>
      </w:r>
      <w:r>
        <w:rPr>
          <w:rFonts w:hint="eastAsia" w:ascii="仿宋" w:hAnsi="仿宋" w:eastAsia="仿宋" w:cs="仿宋"/>
          <w:b w:val="0"/>
          <w:bCs/>
          <w:color w:val="auto"/>
          <w:sz w:val="24"/>
        </w:rPr>
        <w:t>15cm；显示器倾斜角度可调±20°，方便不同身高患者使用。</w:t>
      </w:r>
    </w:p>
    <w:p w14:paraId="63693F29">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10)支撑平板：</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110×110 cm，离地高</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23cm，宽大平稳。</w:t>
      </w:r>
    </w:p>
    <w:p w14:paraId="3CDD6F93">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1</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)产品尺寸：</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长185cm × 宽120cm × 高180-200cm</w:t>
      </w:r>
    </w:p>
    <w:p w14:paraId="7E345754">
      <w:pPr>
        <w:spacing w:line="440" w:lineRule="exact"/>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13）使用年限≥5年</w:t>
      </w:r>
    </w:p>
    <w:p w14:paraId="2D270547">
      <w:pPr>
        <w:numPr>
          <w:ilvl w:val="0"/>
          <w:numId w:val="0"/>
        </w:numPr>
        <w:spacing w:line="440" w:lineRule="exact"/>
        <w:ind w:leftChars="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14）</w:t>
      </w:r>
      <w:r>
        <w:rPr>
          <w:rFonts w:hint="eastAsia" w:ascii="仿宋" w:hAnsi="仿宋" w:eastAsia="仿宋" w:cs="仿宋"/>
          <w:b w:val="0"/>
          <w:bCs/>
          <w:color w:val="auto"/>
          <w:sz w:val="24"/>
        </w:rPr>
        <w:t>设备如有接入我院系统的需求</w:t>
      </w:r>
      <w:r>
        <w:rPr>
          <w:rFonts w:hint="eastAsia" w:ascii="仿宋" w:hAnsi="仿宋" w:eastAsia="仿宋" w:cs="仿宋"/>
          <w:b w:val="0"/>
          <w:bCs/>
          <w:color w:val="auto"/>
          <w:sz w:val="24"/>
          <w:lang w:eastAsia="zh-CN"/>
        </w:rPr>
        <w:t>：</w:t>
      </w:r>
    </w:p>
    <w:p w14:paraId="5651747E">
      <w:pPr>
        <w:spacing w:line="440" w:lineRule="exact"/>
        <w:rPr>
          <w:rFonts w:hint="eastAsia" w:ascii="仿宋" w:hAnsi="仿宋" w:eastAsia="仿宋" w:cs="仿宋"/>
          <w:b w:val="0"/>
          <w:bCs/>
          <w:color w:val="auto"/>
          <w:sz w:val="24"/>
        </w:rPr>
      </w:pPr>
      <w:r>
        <w:rPr>
          <w:rFonts w:hint="eastAsia" w:ascii="仿宋" w:hAnsi="仿宋" w:eastAsia="仿宋" w:cs="仿宋"/>
          <w:b w:val="0"/>
          <w:bCs/>
          <w:color w:val="auto"/>
          <w:sz w:val="24"/>
        </w:rPr>
        <w:t>★设备需支持与医院信息系统的数据互通，对接费用包含在本项目预算中</w:t>
      </w:r>
    </w:p>
    <w:p w14:paraId="41400164">
      <w:pPr>
        <w:spacing w:line="440" w:lineRule="exact"/>
        <w:rPr>
          <w:rFonts w:hint="default" w:ascii="仿宋" w:hAnsi="仿宋" w:eastAsia="仿宋" w:cs="仿宋"/>
          <w:b/>
          <w:color w:val="000000" w:themeColor="text1"/>
          <w:sz w:val="24"/>
          <w:lang w:val="en-US" w:eastAsia="zh-CN"/>
          <w14:textFill>
            <w14:solidFill>
              <w14:schemeClr w14:val="tx1"/>
            </w14:solidFill>
          </w14:textFill>
        </w:rPr>
      </w:pPr>
    </w:p>
    <w:p w14:paraId="470638FE">
      <w:pPr>
        <w:spacing w:line="440" w:lineRule="exact"/>
        <w:rPr>
          <w:rFonts w:ascii="仿宋" w:hAnsi="仿宋" w:eastAsia="仿宋" w:cs="仿宋"/>
          <w:b/>
          <w:color w:val="000000" w:themeColor="text1"/>
          <w:sz w:val="24"/>
          <w14:textFill>
            <w14:solidFill>
              <w14:schemeClr w14:val="tx1"/>
            </w14:solidFill>
          </w14:textFill>
        </w:rPr>
      </w:pPr>
    </w:p>
    <w:p w14:paraId="33690489">
      <w:pPr>
        <w:spacing w:line="440" w:lineRule="exact"/>
        <w:rPr>
          <w:rFonts w:ascii="仿宋" w:hAnsi="仿宋" w:eastAsia="仿宋" w:cs="仿宋"/>
          <w:b/>
          <w:color w:val="000000" w:themeColor="text1"/>
          <w:sz w:val="24"/>
          <w14:textFill>
            <w14:solidFill>
              <w14:schemeClr w14:val="tx1"/>
            </w14:solidFill>
          </w14:textFill>
        </w:rPr>
      </w:pPr>
    </w:p>
    <w:p w14:paraId="342E57BB">
      <w:pPr>
        <w:spacing w:line="440" w:lineRule="exact"/>
        <w:rPr>
          <w:rFonts w:ascii="仿宋" w:hAnsi="仿宋" w:eastAsia="仿宋" w:cs="仿宋"/>
          <w:b/>
          <w:color w:val="000000" w:themeColor="text1"/>
          <w:sz w:val="24"/>
          <w14:textFill>
            <w14:solidFill>
              <w14:schemeClr w14:val="tx1"/>
            </w14:solidFill>
          </w14:textFill>
        </w:rPr>
      </w:pPr>
    </w:p>
    <w:p w14:paraId="4A6707BF">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77"/>
        <w:gridCol w:w="3147"/>
        <w:gridCol w:w="969"/>
        <w:gridCol w:w="920"/>
      </w:tblGrid>
      <w:tr w14:paraId="609D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5ECACE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477" w:type="dxa"/>
          </w:tcPr>
          <w:p w14:paraId="6874367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147" w:type="dxa"/>
          </w:tcPr>
          <w:p w14:paraId="09E568E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652906C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566052F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37D4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1F12D1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477" w:type="dxa"/>
          </w:tcPr>
          <w:p w14:paraId="235B8596">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电子倾斜板</w:t>
            </w:r>
          </w:p>
        </w:tc>
        <w:tc>
          <w:tcPr>
            <w:tcW w:w="3147" w:type="dxa"/>
          </w:tcPr>
          <w:p w14:paraId="4164B5B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2261C96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400AFEF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4238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DAD17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477" w:type="dxa"/>
          </w:tcPr>
          <w:p w14:paraId="210EBA62">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底座</w:t>
            </w:r>
          </w:p>
        </w:tc>
        <w:tc>
          <w:tcPr>
            <w:tcW w:w="3147" w:type="dxa"/>
          </w:tcPr>
          <w:p w14:paraId="5534C6EA">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493AC31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06347355">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1908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3D806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477" w:type="dxa"/>
          </w:tcPr>
          <w:p w14:paraId="5A9F7C61">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主支架</w:t>
            </w:r>
          </w:p>
        </w:tc>
        <w:tc>
          <w:tcPr>
            <w:tcW w:w="3147" w:type="dxa"/>
          </w:tcPr>
          <w:p w14:paraId="12D930E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083A86F6">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5C1850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4DFD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42078A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477" w:type="dxa"/>
          </w:tcPr>
          <w:p w14:paraId="6E8D72AB">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扶手</w:t>
            </w:r>
          </w:p>
        </w:tc>
        <w:tc>
          <w:tcPr>
            <w:tcW w:w="3147" w:type="dxa"/>
          </w:tcPr>
          <w:p w14:paraId="17C87BE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1FF5862E">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0353BA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5528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D0A68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477" w:type="dxa"/>
          </w:tcPr>
          <w:p w14:paraId="6C688FDB">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主机支架和主机</w:t>
            </w:r>
          </w:p>
        </w:tc>
        <w:tc>
          <w:tcPr>
            <w:tcW w:w="3147" w:type="dxa"/>
          </w:tcPr>
          <w:p w14:paraId="091D2B3D">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5B1886D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25CDB33">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套</w:t>
            </w:r>
          </w:p>
        </w:tc>
      </w:tr>
      <w:tr w14:paraId="103C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EF5E64B">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2477" w:type="dxa"/>
          </w:tcPr>
          <w:p w14:paraId="68DD5892">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躯干传感器</w:t>
            </w:r>
          </w:p>
        </w:tc>
        <w:tc>
          <w:tcPr>
            <w:tcW w:w="3147" w:type="dxa"/>
          </w:tcPr>
          <w:p w14:paraId="7A381E0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7303C96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14202E2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27D2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365B63">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2477" w:type="dxa"/>
          </w:tcPr>
          <w:p w14:paraId="12923740">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cs="宋体"/>
                <w:sz w:val="24"/>
                <w:szCs w:val="24"/>
              </w:rPr>
              <w:t>系统软件</w:t>
            </w:r>
          </w:p>
        </w:tc>
        <w:tc>
          <w:tcPr>
            <w:tcW w:w="3147" w:type="dxa"/>
          </w:tcPr>
          <w:p w14:paraId="7FD3FF64">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cs="宋体"/>
                <w:sz w:val="24"/>
                <w:szCs w:val="24"/>
              </w:rPr>
              <w:t>已预装至主机</w:t>
            </w:r>
          </w:p>
        </w:tc>
        <w:tc>
          <w:tcPr>
            <w:tcW w:w="969" w:type="dxa"/>
          </w:tcPr>
          <w:p w14:paraId="76161552">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2D6324FA">
            <w:pPr>
              <w:spacing w:line="440" w:lineRule="exact"/>
              <w:rPr>
                <w:rFonts w:ascii="仿宋" w:hAnsi="仿宋" w:eastAsia="仿宋" w:cs="仿宋"/>
                <w:b/>
                <w:color w:val="000000" w:themeColor="text1"/>
                <w:sz w:val="24"/>
                <w14:textFill>
                  <w14:solidFill>
                    <w14:schemeClr w14:val="tx1"/>
                  </w14:solidFill>
                </w14:textFill>
              </w:rPr>
            </w:pPr>
            <w:r>
              <w:rPr>
                <w:rFonts w:hint="eastAsia" w:ascii="宋体" w:hAnsi="宋体"/>
                <w:sz w:val="24"/>
                <w:szCs w:val="24"/>
              </w:rPr>
              <w:t>套</w:t>
            </w:r>
          </w:p>
        </w:tc>
      </w:tr>
      <w:tr w14:paraId="7315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6ECF3B">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2477" w:type="dxa"/>
          </w:tcPr>
          <w:p w14:paraId="23593417">
            <w:pPr>
              <w:spacing w:line="440" w:lineRule="exact"/>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使用说明书</w:t>
            </w:r>
          </w:p>
        </w:tc>
        <w:tc>
          <w:tcPr>
            <w:tcW w:w="3147" w:type="dxa"/>
          </w:tcPr>
          <w:p w14:paraId="409154AC">
            <w:pPr>
              <w:spacing w:line="440" w:lineRule="exact"/>
              <w:rPr>
                <w:rFonts w:hint="eastAsia" w:ascii="宋体" w:hAnsi="宋体" w:cs="宋体"/>
                <w:sz w:val="24"/>
                <w:szCs w:val="24"/>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371D945A">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26B4B65">
            <w:pPr>
              <w:spacing w:line="440" w:lineRule="exact"/>
              <w:rPr>
                <w:rFonts w:hint="default" w:ascii="宋体" w:hAnsi="宋体" w:eastAsiaTheme="minorEastAsia"/>
                <w:sz w:val="24"/>
                <w:szCs w:val="24"/>
                <w:lang w:val="en-US" w:eastAsia="zh-CN"/>
              </w:rPr>
            </w:pPr>
            <w:r>
              <w:rPr>
                <w:rFonts w:hint="eastAsia" w:ascii="宋体" w:hAnsi="宋体"/>
                <w:sz w:val="24"/>
                <w:szCs w:val="24"/>
                <w:lang w:val="en-US" w:eastAsia="zh-CN"/>
              </w:rPr>
              <w:t>份</w:t>
            </w:r>
          </w:p>
        </w:tc>
      </w:tr>
      <w:tr w14:paraId="7FFC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A835F6">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2477" w:type="dxa"/>
          </w:tcPr>
          <w:p w14:paraId="154E7927">
            <w:pPr>
              <w:spacing w:line="440" w:lineRule="exact"/>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保修卡</w:t>
            </w:r>
          </w:p>
        </w:tc>
        <w:tc>
          <w:tcPr>
            <w:tcW w:w="3147" w:type="dxa"/>
          </w:tcPr>
          <w:p w14:paraId="34D02EA9">
            <w:pPr>
              <w:spacing w:line="440" w:lineRule="exact"/>
              <w:rPr>
                <w:rFonts w:hint="eastAsia" w:ascii="宋体" w:hAnsi="宋体" w:cs="宋体"/>
                <w:sz w:val="24"/>
                <w:szCs w:val="24"/>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vAlign w:val="top"/>
          </w:tcPr>
          <w:p w14:paraId="4C3CCE1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vAlign w:val="top"/>
          </w:tcPr>
          <w:p w14:paraId="18B85522">
            <w:pPr>
              <w:spacing w:line="440" w:lineRule="exact"/>
              <w:rPr>
                <w:rFonts w:hint="eastAsia" w:ascii="宋体" w:hAnsi="宋体"/>
                <w:sz w:val="24"/>
                <w:szCs w:val="24"/>
              </w:rPr>
            </w:pPr>
            <w:r>
              <w:rPr>
                <w:rFonts w:hint="eastAsia" w:ascii="宋体" w:hAnsi="宋体"/>
                <w:sz w:val="24"/>
                <w:szCs w:val="24"/>
                <w:lang w:val="en-US" w:eastAsia="zh-CN"/>
              </w:rPr>
              <w:t>份</w:t>
            </w:r>
          </w:p>
        </w:tc>
      </w:tr>
      <w:tr w14:paraId="741F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4F5534">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2477" w:type="dxa"/>
          </w:tcPr>
          <w:p w14:paraId="588460ED">
            <w:pPr>
              <w:spacing w:line="440" w:lineRule="exact"/>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合格证</w:t>
            </w:r>
          </w:p>
        </w:tc>
        <w:tc>
          <w:tcPr>
            <w:tcW w:w="3147" w:type="dxa"/>
          </w:tcPr>
          <w:p w14:paraId="2D45BCDD">
            <w:pPr>
              <w:spacing w:line="440" w:lineRule="exact"/>
              <w:rPr>
                <w:rFonts w:hint="eastAsia" w:ascii="宋体" w:hAnsi="宋体" w:cs="宋体"/>
                <w:sz w:val="24"/>
                <w:szCs w:val="24"/>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vAlign w:val="top"/>
          </w:tcPr>
          <w:p w14:paraId="0DD53F0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vAlign w:val="top"/>
          </w:tcPr>
          <w:p w14:paraId="3E9F23D6">
            <w:pPr>
              <w:spacing w:line="440" w:lineRule="exact"/>
              <w:rPr>
                <w:rFonts w:hint="eastAsia" w:ascii="宋体" w:hAnsi="宋体"/>
                <w:sz w:val="24"/>
                <w:szCs w:val="24"/>
              </w:rPr>
            </w:pPr>
            <w:r>
              <w:rPr>
                <w:rFonts w:hint="eastAsia" w:ascii="宋体" w:hAnsi="宋体"/>
                <w:sz w:val="24"/>
                <w:szCs w:val="24"/>
                <w:lang w:val="en-US" w:eastAsia="zh-CN"/>
              </w:rPr>
              <w:t>份</w:t>
            </w:r>
          </w:p>
        </w:tc>
      </w:tr>
      <w:tr w14:paraId="0811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217D67">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2477" w:type="dxa"/>
          </w:tcPr>
          <w:p w14:paraId="3107620A">
            <w:pPr>
              <w:spacing w:line="440" w:lineRule="exact"/>
              <w:rPr>
                <w:rFonts w:hint="default" w:ascii="宋体" w:hAnsi="宋体" w:cs="宋体"/>
                <w:sz w:val="24"/>
                <w:szCs w:val="24"/>
                <w:lang w:val="en-US" w:eastAsia="zh-CN"/>
              </w:rPr>
            </w:pPr>
            <w:r>
              <w:rPr>
                <w:rFonts w:hint="eastAsia" w:ascii="宋体" w:hAnsi="宋体" w:cs="宋体"/>
                <w:sz w:val="24"/>
                <w:szCs w:val="24"/>
                <w:lang w:val="en-US" w:eastAsia="zh-CN"/>
              </w:rPr>
              <w:t>快速使用说明指南</w:t>
            </w:r>
          </w:p>
        </w:tc>
        <w:tc>
          <w:tcPr>
            <w:tcW w:w="3147" w:type="dxa"/>
          </w:tcPr>
          <w:p w14:paraId="57761363">
            <w:pPr>
              <w:spacing w:line="440" w:lineRule="exact"/>
              <w:rPr>
                <w:rFonts w:hint="eastAsia" w:ascii="宋体" w:hAnsi="宋体" w:cs="宋体"/>
                <w:sz w:val="24"/>
                <w:szCs w:val="24"/>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vAlign w:val="top"/>
          </w:tcPr>
          <w:p w14:paraId="17AD33B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vAlign w:val="top"/>
          </w:tcPr>
          <w:p w14:paraId="3A1F6610">
            <w:pPr>
              <w:spacing w:line="440" w:lineRule="exact"/>
              <w:rPr>
                <w:rFonts w:hint="eastAsia" w:ascii="宋体" w:hAnsi="宋体"/>
                <w:sz w:val="24"/>
                <w:szCs w:val="24"/>
              </w:rPr>
            </w:pPr>
            <w:r>
              <w:rPr>
                <w:rFonts w:hint="eastAsia" w:ascii="宋体" w:hAnsi="宋体"/>
                <w:sz w:val="24"/>
                <w:szCs w:val="24"/>
                <w:lang w:val="en-US" w:eastAsia="zh-CN"/>
              </w:rPr>
              <w:t>份</w:t>
            </w:r>
          </w:p>
        </w:tc>
      </w:tr>
    </w:tbl>
    <w:p w14:paraId="5D996858">
      <w:pPr>
        <w:spacing w:line="440" w:lineRule="exact"/>
        <w:rPr>
          <w:rFonts w:ascii="仿宋" w:hAnsi="仿宋" w:eastAsia="仿宋" w:cs="仿宋"/>
          <w:b/>
          <w:color w:val="000000" w:themeColor="text1"/>
          <w:sz w:val="24"/>
          <w14:textFill>
            <w14:solidFill>
              <w14:schemeClr w14:val="tx1"/>
            </w14:solidFill>
          </w14:textFill>
        </w:rPr>
      </w:pPr>
    </w:p>
    <w:p w14:paraId="4824F61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0362768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3C69CBD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4060C34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00DB78BA">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且原装进口产品生产日期与交货日期差值≤6个月；国产产品生产日期与交货日期差值≤3个月。</w:t>
      </w:r>
    </w:p>
    <w:p w14:paraId="4DB2A24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554989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1DA23E6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49C0394A">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3C17DA95">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3D7E9F2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p>
    <w:p w14:paraId="30F7CBB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134C1E4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2315C072">
      <w:pPr>
        <w:spacing w:line="440" w:lineRule="exact"/>
        <w:rPr>
          <w:rFonts w:ascii="仿宋" w:hAnsi="仿宋" w:eastAsia="仿宋" w:cs="仿宋"/>
          <w:b/>
          <w:color w:val="000000" w:themeColor="text1"/>
          <w:sz w:val="24"/>
          <w14:textFill>
            <w14:solidFill>
              <w14:schemeClr w14:val="tx1"/>
            </w14:solidFill>
          </w14:textFill>
        </w:rPr>
      </w:pPr>
    </w:p>
    <w:p w14:paraId="544397A4">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7B1E2C9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7BDF73F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1A8A16B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1065C84">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12C271D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14:textFill>
            <w14:solidFill>
              <w14:schemeClr w14:val="tx1"/>
            </w14:solidFill>
          </w14:textFill>
        </w:rPr>
        <w:t xml:space="preserve"> 质保期满</w:t>
      </w:r>
      <w:r>
        <w:rPr>
          <w:rFonts w:hint="eastAsia" w:ascii="仿宋" w:hAnsi="仿宋" w:eastAsia="仿宋" w:cs="仿宋"/>
          <w:color w:val="000000" w:themeColor="text1"/>
          <w:sz w:val="24"/>
          <w:highlight w:val="none"/>
          <w14:textFill>
            <w14:solidFill>
              <w14:schemeClr w14:val="tx1"/>
            </w14:solidFill>
          </w14:textFill>
        </w:rPr>
        <w:t>后一次性无息支付。</w:t>
      </w:r>
    </w:p>
    <w:p w14:paraId="4952581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p>
    <w:p w14:paraId="4E9D8272">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A43F905">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BB84D48"/>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3B32190"/>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30644B"/>
    <w:rsid w:val="71734FE9"/>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1649</Words>
  <Characters>1903</Characters>
  <Lines>21</Lines>
  <Paragraphs>5</Paragraphs>
  <TotalTime>0</TotalTime>
  <ScaleCrop>false</ScaleCrop>
  <LinksUpToDate>false</LinksUpToDate>
  <CharactersWithSpaces>2006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2025-08-05T01:29:32Z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2C0DC4CE049D4587A9A5C8D8337B5520_13</vt:lpwstr>
  </property>
</Properties>
</file>